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D695A" w14:textId="3BFAE8DE" w:rsidR="00126C42" w:rsidRDefault="00126C42" w:rsidP="00126C42">
      <w:pPr>
        <w:autoSpaceDE w:val="0"/>
        <w:autoSpaceDN w:val="0"/>
        <w:adjustRightInd w:val="0"/>
        <w:spacing w:after="0" w:line="240" w:lineRule="auto"/>
        <w:ind w:left="720" w:hanging="360"/>
      </w:pPr>
      <w:r>
        <w:t>Bibliografía</w:t>
      </w:r>
    </w:p>
    <w:p w14:paraId="66BCD538" w14:textId="77777777" w:rsidR="00126C42" w:rsidRPr="00126C42" w:rsidRDefault="00126C42" w:rsidP="00126C42">
      <w:pPr>
        <w:autoSpaceDE w:val="0"/>
        <w:autoSpaceDN w:val="0"/>
        <w:adjustRightInd w:val="0"/>
        <w:spacing w:after="0" w:line="240" w:lineRule="auto"/>
        <w:ind w:left="720" w:hanging="360"/>
      </w:pPr>
    </w:p>
    <w:p w14:paraId="650F99BA" w14:textId="63352A75" w:rsidR="00126C42" w:rsidRPr="00126C42" w:rsidRDefault="00126C42" w:rsidP="00126C4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26C4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Ciccarelli FD, </w:t>
      </w:r>
      <w:proofErr w:type="spellStart"/>
      <w:r w:rsidRPr="00126C4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Doerks</w:t>
      </w:r>
      <w:proofErr w:type="spellEnd"/>
      <w:r w:rsidRPr="00126C4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T, von Mering C, Creevey CJ, </w:t>
      </w:r>
      <w:proofErr w:type="spellStart"/>
      <w:r w:rsidRPr="00126C4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Snel</w:t>
      </w:r>
      <w:proofErr w:type="spellEnd"/>
      <w:r w:rsidRPr="00126C4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B, Bork P.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2006.</w:t>
      </w:r>
      <w:r w:rsidRPr="00126C4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Toward automatic reconstruction of a highly resolved tree of life. </w:t>
      </w:r>
      <w:r w:rsidRPr="00126C42">
        <w:rPr>
          <w:rStyle w:val="ref-journal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Science</w:t>
      </w:r>
      <w:r w:rsidRPr="00126C42">
        <w:rPr>
          <w:rStyle w:val="ref-journal"/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US"/>
        </w:rPr>
        <w:t>.</w:t>
      </w:r>
      <w:r w:rsidRPr="00126C42">
        <w:rPr>
          <w:rStyle w:val="ref-vol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gramStart"/>
      <w:r w:rsidRPr="00126C42">
        <w:rPr>
          <w:rStyle w:val="ref-vol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311</w:t>
      </w:r>
      <w:r w:rsidRPr="00126C4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:1283</w:t>
      </w:r>
      <w:proofErr w:type="gramEnd"/>
      <w:r w:rsidRPr="00126C4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–7. d</w:t>
      </w:r>
      <w:proofErr w:type="spellStart"/>
      <w:r w:rsidRPr="00126C4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oi</w:t>
      </w:r>
      <w:proofErr w:type="spellEnd"/>
      <w:r w:rsidRPr="00126C4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: 10.1126/science.1123061</w:t>
      </w:r>
      <w:r w:rsidRPr="00126C4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.</w:t>
      </w:r>
    </w:p>
    <w:p w14:paraId="2289747A" w14:textId="77777777" w:rsidR="00126C42" w:rsidRPr="00126C42" w:rsidRDefault="00126C42" w:rsidP="00126C4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26C42">
        <w:rPr>
          <w:rFonts w:ascii="Arial" w:hAnsi="Arial" w:cs="Arial"/>
          <w:sz w:val="20"/>
          <w:szCs w:val="20"/>
          <w:lang w:val="en-US"/>
        </w:rPr>
        <w:t>Environment and Climate Change Canada. 2016. Guidance document for testing the pathogenicity and toxicity of new microbial substances to aquatic and terrestrial organisms. EPS 1/RM/44.</w:t>
      </w:r>
    </w:p>
    <w:p w14:paraId="142945B3" w14:textId="2DE3675E" w:rsidR="00126C42" w:rsidRPr="00126C42" w:rsidRDefault="00126C42" w:rsidP="00126C42">
      <w:pPr>
        <w:pStyle w:val="Prrafodelista"/>
        <w:numPr>
          <w:ilvl w:val="0"/>
          <w:numId w:val="4"/>
        </w:numPr>
        <w:tabs>
          <w:tab w:val="left" w:pos="6383"/>
          <w:tab w:val="left" w:pos="707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26C42">
        <w:rPr>
          <w:rFonts w:ascii="Arial" w:hAnsi="Arial" w:cs="Arial"/>
          <w:sz w:val="20"/>
          <w:szCs w:val="20"/>
          <w:lang w:val="en-US"/>
        </w:rPr>
        <w:t xml:space="preserve">Hernández CS, </w:t>
      </w:r>
      <w:proofErr w:type="spellStart"/>
      <w:r w:rsidRPr="00126C42">
        <w:rPr>
          <w:rFonts w:ascii="Arial" w:hAnsi="Arial" w:cs="Arial"/>
          <w:sz w:val="20"/>
          <w:szCs w:val="20"/>
          <w:lang w:val="en-US"/>
        </w:rPr>
        <w:t>Ferré</w:t>
      </w:r>
      <w:proofErr w:type="spellEnd"/>
      <w:r w:rsidRPr="00126C42">
        <w:rPr>
          <w:rFonts w:ascii="Arial" w:hAnsi="Arial" w:cs="Arial"/>
          <w:sz w:val="20"/>
          <w:szCs w:val="20"/>
          <w:lang w:val="en-US"/>
        </w:rPr>
        <w:t xml:space="preserve"> J, </w:t>
      </w:r>
      <w:proofErr w:type="spellStart"/>
      <w:r w:rsidRPr="00126C42">
        <w:rPr>
          <w:rFonts w:ascii="Arial" w:hAnsi="Arial" w:cs="Arial"/>
          <w:sz w:val="20"/>
          <w:szCs w:val="20"/>
          <w:lang w:val="en-US"/>
        </w:rPr>
        <w:t>Larget-Thiéry</w:t>
      </w:r>
      <w:proofErr w:type="spellEnd"/>
      <w:r w:rsidRPr="00126C42">
        <w:rPr>
          <w:rFonts w:ascii="Arial" w:hAnsi="Arial" w:cs="Arial"/>
          <w:sz w:val="20"/>
          <w:szCs w:val="20"/>
          <w:lang w:val="en-US"/>
        </w:rPr>
        <w:t xml:space="preserve"> I. 2001. Update on the detection of beta-exotoxin in Bacillus thuringiensis strains by HPLC analysis. Journal of applied microbiology, 90</w:t>
      </w:r>
      <w:r>
        <w:rPr>
          <w:rFonts w:ascii="Arial" w:hAnsi="Arial" w:cs="Arial"/>
          <w:sz w:val="20"/>
          <w:szCs w:val="20"/>
          <w:lang w:val="en-US"/>
        </w:rPr>
        <w:t>:</w:t>
      </w:r>
      <w:r w:rsidRPr="00126C42">
        <w:rPr>
          <w:rFonts w:ascii="Arial" w:hAnsi="Arial" w:cs="Arial"/>
          <w:sz w:val="20"/>
          <w:szCs w:val="20"/>
          <w:lang w:val="en-US"/>
        </w:rPr>
        <w:t xml:space="preserve">643–647. </w:t>
      </w:r>
      <w:hyperlink r:id="rId5" w:history="1">
        <w:r w:rsidRPr="00126C42">
          <w:rPr>
            <w:rStyle w:val="Hipervnculo"/>
            <w:rFonts w:ascii="Arial" w:hAnsi="Arial" w:cs="Arial"/>
            <w:sz w:val="20"/>
            <w:szCs w:val="20"/>
            <w:lang w:val="en-US"/>
          </w:rPr>
          <w:t>https://doi.org/10.1046/j.1365-2672.2001.01288.x</w:t>
        </w:r>
      </w:hyperlink>
    </w:p>
    <w:p w14:paraId="3397C2C6" w14:textId="71F30C3C" w:rsidR="00126C42" w:rsidRPr="00126C42" w:rsidRDefault="00126C42" w:rsidP="00126C42">
      <w:pPr>
        <w:pStyle w:val="Prrafodelista"/>
        <w:numPr>
          <w:ilvl w:val="0"/>
          <w:numId w:val="4"/>
        </w:numPr>
        <w:tabs>
          <w:tab w:val="left" w:pos="6383"/>
          <w:tab w:val="left" w:pos="707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26C42">
        <w:rPr>
          <w:rFonts w:ascii="Arial" w:hAnsi="Arial" w:cs="Arial"/>
          <w:sz w:val="20"/>
          <w:szCs w:val="20"/>
          <w:shd w:val="clear" w:color="auto" w:fill="FFFFFF"/>
          <w:lang w:val="en-US"/>
        </w:rPr>
        <w:t>Hernández I, Sant C, Martínez R and Fernández C. 2020. Design of Bacterial Strain-Specific qPCR Assays using NGS data and publicly available resources and its application to track biocontrol strains. </w:t>
      </w:r>
      <w:r w:rsidRPr="00126C42">
        <w:rPr>
          <w:rFonts w:ascii="Arial" w:hAnsi="Arial" w:cs="Arial"/>
          <w:sz w:val="20"/>
          <w:szCs w:val="20"/>
          <w:shd w:val="clear" w:color="auto" w:fill="FFFFFF"/>
        </w:rPr>
        <w:t xml:space="preserve">Front </w:t>
      </w:r>
      <w:proofErr w:type="spellStart"/>
      <w:r w:rsidRPr="00126C42">
        <w:rPr>
          <w:rFonts w:ascii="Arial" w:hAnsi="Arial" w:cs="Arial"/>
          <w:sz w:val="20"/>
          <w:szCs w:val="20"/>
          <w:shd w:val="clear" w:color="auto" w:fill="FFFFFF"/>
        </w:rPr>
        <w:t>Microbiol</w:t>
      </w:r>
      <w:proofErr w:type="spellEnd"/>
      <w:r w:rsidRPr="00126C42">
        <w:rPr>
          <w:rFonts w:ascii="Arial" w:hAnsi="Arial" w:cs="Arial"/>
          <w:sz w:val="20"/>
          <w:szCs w:val="20"/>
          <w:shd w:val="clear" w:color="auto" w:fill="FFFFFF"/>
        </w:rPr>
        <w:t>. 11:208.</w:t>
      </w:r>
      <w:r w:rsidRPr="00126C42">
        <w:rPr>
          <w:rFonts w:ascii="Arial" w:hAnsi="Arial" w:cs="Arial"/>
          <w:color w:val="1F4E79" w:themeColor="accent5" w:themeShade="80"/>
          <w:sz w:val="20"/>
          <w:szCs w:val="20"/>
        </w:rPr>
        <w:t xml:space="preserve"> </w:t>
      </w:r>
      <w:hyperlink r:id="rId6" w:history="1">
        <w:r w:rsidRPr="00126C42">
          <w:rPr>
            <w:rFonts w:ascii="Arial" w:hAnsi="Arial" w:cs="Arial"/>
            <w:color w:val="1F4E79" w:themeColor="accent5" w:themeShade="80"/>
            <w:sz w:val="20"/>
            <w:szCs w:val="20"/>
            <w:shd w:val="clear" w:color="auto" w:fill="FFFFFF"/>
          </w:rPr>
          <w:t>https://doi.org/10.3389/fmicb.2020.00208</w:t>
        </w:r>
      </w:hyperlink>
      <w:r w:rsidRPr="00126C42">
        <w:rPr>
          <w:rFonts w:ascii="Arial" w:hAnsi="Arial" w:cs="Arial"/>
          <w:color w:val="1F4E79" w:themeColor="accent5" w:themeShade="80"/>
          <w:sz w:val="20"/>
          <w:szCs w:val="20"/>
          <w:shd w:val="clear" w:color="auto" w:fill="FFFFFF"/>
        </w:rPr>
        <w:t>.</w:t>
      </w:r>
    </w:p>
    <w:p w14:paraId="6017F2A8" w14:textId="77777777" w:rsidR="00126C42" w:rsidRPr="00126C42" w:rsidRDefault="00126C42" w:rsidP="00126C42">
      <w:pPr>
        <w:pStyle w:val="Prrafodelista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26C42">
        <w:rPr>
          <w:rFonts w:ascii="Arial" w:hAnsi="Arial" w:cs="Arial"/>
          <w:sz w:val="20"/>
          <w:szCs w:val="20"/>
          <w:lang w:val="en-US"/>
        </w:rPr>
        <w:t>OECD (2006), Test No. 208: Terrestrial Plant Test: Seedling Emergence and Seedling Growth Test, OECD Guidelines for the Testing of Chemicals, Section 2, OECD Publishing, Paris.</w:t>
      </w:r>
    </w:p>
    <w:p w14:paraId="11C4F0E0" w14:textId="77777777" w:rsidR="00126C42" w:rsidRPr="00126C42" w:rsidRDefault="00126C42" w:rsidP="00126C4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26C42">
        <w:rPr>
          <w:rFonts w:ascii="Arial" w:hAnsi="Arial" w:cs="Arial"/>
          <w:sz w:val="20"/>
          <w:szCs w:val="20"/>
        </w:rPr>
        <w:t xml:space="preserve">Organización para la Cooperación Económica y el Desarrollo. </w:t>
      </w:r>
      <w:r w:rsidRPr="00126C42">
        <w:rPr>
          <w:rFonts w:ascii="Arial" w:hAnsi="Arial" w:cs="Arial"/>
          <w:sz w:val="20"/>
          <w:szCs w:val="20"/>
          <w:lang w:val="en-US"/>
        </w:rPr>
        <w:t>2012. Guidance to the environmental safety evaluation of microbial biocontrol agents.</w:t>
      </w:r>
    </w:p>
    <w:p w14:paraId="4B596CAF" w14:textId="77777777" w:rsidR="00126C42" w:rsidRPr="00126C42" w:rsidRDefault="00126C42" w:rsidP="00126C42">
      <w:pPr>
        <w:pStyle w:val="Prrafodelista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26C42">
        <w:rPr>
          <w:rFonts w:ascii="Arial" w:hAnsi="Arial" w:cs="Arial"/>
          <w:sz w:val="20"/>
          <w:szCs w:val="20"/>
          <w:lang w:val="en-US"/>
        </w:rPr>
        <w:t xml:space="preserve">US EPA. 1996. Microbial pesticide test guidelines “OCSPP 885.4380 Honey Bee Testing Tier I”. </w:t>
      </w:r>
    </w:p>
    <w:p w14:paraId="40AB4EF7" w14:textId="77777777" w:rsidR="00126C42" w:rsidRPr="00126C42" w:rsidRDefault="00126C42" w:rsidP="00126C4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26C42">
        <w:rPr>
          <w:rFonts w:ascii="Arial" w:hAnsi="Arial" w:cs="Arial"/>
          <w:sz w:val="20"/>
          <w:szCs w:val="20"/>
          <w:lang w:val="en-US"/>
        </w:rPr>
        <w:t>US EPA. 1996. Microbial pesticide test guidelines OCSPP 885.4050 Avian Oral Tier I.</w:t>
      </w:r>
    </w:p>
    <w:p w14:paraId="070127F6" w14:textId="77777777" w:rsidR="00126C42" w:rsidRPr="00126C42" w:rsidRDefault="00126C42" w:rsidP="00126C42">
      <w:pPr>
        <w:pStyle w:val="Prrafodelista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26C42">
        <w:rPr>
          <w:rFonts w:ascii="Arial" w:hAnsi="Arial" w:cs="Arial"/>
          <w:sz w:val="20"/>
          <w:szCs w:val="20"/>
          <w:lang w:val="en-US"/>
        </w:rPr>
        <w:t xml:space="preserve">USEPA. 1996. </w:t>
      </w:r>
      <w:r w:rsidRPr="00126C42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Ecological Effects Test Guidelines OPPTS 850.4300 Terrestrial Plants Field Study, Tier III.</w:t>
      </w:r>
    </w:p>
    <w:p w14:paraId="5266ADC1" w14:textId="754CA8EC" w:rsidR="00126C42" w:rsidRPr="00126C42" w:rsidRDefault="00126C42" w:rsidP="00126C42">
      <w:pPr>
        <w:pStyle w:val="Prrafodelista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26C42">
        <w:rPr>
          <w:rFonts w:ascii="Arial" w:hAnsi="Arial" w:cs="Arial"/>
          <w:sz w:val="20"/>
          <w:szCs w:val="20"/>
          <w:lang w:val="en-US"/>
        </w:rPr>
        <w:t>USEPA. 1996. Microbial Pesticide Test Guidelines OPPTS 885.4200 Freshwater Fish Testing, Tier I.</w:t>
      </w:r>
    </w:p>
    <w:p w14:paraId="4824B774" w14:textId="77777777" w:rsidR="00126C42" w:rsidRPr="00126C42" w:rsidRDefault="00126C42" w:rsidP="00126C42">
      <w:pPr>
        <w:pStyle w:val="Prrafodelista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26C42">
        <w:rPr>
          <w:rFonts w:ascii="Arial" w:hAnsi="Arial" w:cs="Arial"/>
          <w:sz w:val="20"/>
          <w:szCs w:val="20"/>
          <w:lang w:val="en-US"/>
        </w:rPr>
        <w:t xml:space="preserve">USEPA. 1996. Microbial Pesticide Test Guidelines: OPPTS 885.3050 Acute Oral Toxicity/Pathogenicity. </w:t>
      </w:r>
    </w:p>
    <w:p w14:paraId="439EBE06" w14:textId="77777777" w:rsidR="00126C42" w:rsidRPr="00126C42" w:rsidRDefault="00126C42" w:rsidP="00126C42">
      <w:pPr>
        <w:pStyle w:val="Prrafodelista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26C42">
        <w:rPr>
          <w:rFonts w:ascii="Arial" w:hAnsi="Arial" w:cs="Arial"/>
          <w:sz w:val="20"/>
          <w:szCs w:val="20"/>
          <w:lang w:val="en-US"/>
        </w:rPr>
        <w:t>USEPA. 1996. Microbial Pesticide Test Guidelines: OPPTS 885.3100 Acute Dermal Toxicity/Pathology.</w:t>
      </w:r>
    </w:p>
    <w:p w14:paraId="3BECC0B3" w14:textId="77777777" w:rsidR="00126C42" w:rsidRPr="00126C42" w:rsidRDefault="00126C42" w:rsidP="00126C42">
      <w:pPr>
        <w:pStyle w:val="Prrafodelista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26C42">
        <w:rPr>
          <w:rFonts w:ascii="Arial" w:hAnsi="Arial" w:cs="Arial"/>
          <w:sz w:val="20"/>
          <w:szCs w:val="20"/>
          <w:lang w:val="en-US"/>
        </w:rPr>
        <w:t>USP.1996. Microbial Pesticide Test Guidelines: OPPTS 885.3150 Acute Pulmonary Toxicity/Pathogenicity.</w:t>
      </w:r>
    </w:p>
    <w:p w14:paraId="04A968AD" w14:textId="77777777" w:rsidR="00126C42" w:rsidRPr="00126C42" w:rsidRDefault="00126C42" w:rsidP="00126C42">
      <w:pPr>
        <w:pStyle w:val="Prrafodelista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26C42">
        <w:rPr>
          <w:rFonts w:ascii="Arial" w:hAnsi="Arial" w:cs="Arial"/>
          <w:sz w:val="20"/>
          <w:szCs w:val="20"/>
          <w:lang w:val="en-US"/>
        </w:rPr>
        <w:t xml:space="preserve">USP.1996. Microbial Pesticide Test Guidelines: OPPTS 885.3600 </w:t>
      </w:r>
      <w:proofErr w:type="spellStart"/>
      <w:r w:rsidRPr="00126C42">
        <w:rPr>
          <w:rFonts w:ascii="Arial" w:hAnsi="Arial" w:cs="Arial"/>
          <w:sz w:val="20"/>
          <w:szCs w:val="20"/>
          <w:lang w:val="en-US"/>
        </w:rPr>
        <w:t>Subchronic</w:t>
      </w:r>
      <w:proofErr w:type="spellEnd"/>
      <w:r w:rsidRPr="00126C42">
        <w:rPr>
          <w:rFonts w:ascii="Arial" w:hAnsi="Arial" w:cs="Arial"/>
          <w:sz w:val="20"/>
          <w:szCs w:val="20"/>
          <w:lang w:val="en-US"/>
        </w:rPr>
        <w:t xml:space="preserve"> Toxicity/Pathogenicity.</w:t>
      </w:r>
    </w:p>
    <w:sectPr w:rsidR="00126C42" w:rsidRPr="00126C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2F55"/>
    <w:multiLevelType w:val="hybridMultilevel"/>
    <w:tmpl w:val="230CF5F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71762B"/>
    <w:multiLevelType w:val="hybridMultilevel"/>
    <w:tmpl w:val="36BE83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83688"/>
    <w:multiLevelType w:val="hybridMultilevel"/>
    <w:tmpl w:val="8DC8AFA4"/>
    <w:lvl w:ilvl="0" w:tplc="340A0001">
      <w:start w:val="1"/>
      <w:numFmt w:val="bullet"/>
      <w:lvlText w:val=""/>
      <w:lvlJc w:val="left"/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716C4"/>
    <w:multiLevelType w:val="hybridMultilevel"/>
    <w:tmpl w:val="3998E82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B5"/>
    <w:rsid w:val="00126C42"/>
    <w:rsid w:val="00174058"/>
    <w:rsid w:val="004D122E"/>
    <w:rsid w:val="007B18CC"/>
    <w:rsid w:val="009D44B5"/>
    <w:rsid w:val="00FA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26A2"/>
  <w15:chartTrackingRefBased/>
  <w15:docId w15:val="{881A562B-86D4-43D2-B55C-4DD09BBE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44B5"/>
    <w:pPr>
      <w:ind w:left="720"/>
      <w:contextualSpacing/>
    </w:pPr>
  </w:style>
  <w:style w:type="character" w:customStyle="1" w:styleId="ref-journal">
    <w:name w:val="ref-journal"/>
    <w:basedOn w:val="Fuentedeprrafopredeter"/>
    <w:rsid w:val="004D122E"/>
  </w:style>
  <w:style w:type="character" w:customStyle="1" w:styleId="ref-vol">
    <w:name w:val="ref-vol"/>
    <w:basedOn w:val="Fuentedeprrafopredeter"/>
    <w:rsid w:val="004D122E"/>
  </w:style>
  <w:style w:type="character" w:styleId="Hipervnculo">
    <w:name w:val="Hyperlink"/>
    <w:basedOn w:val="Fuentedeprrafopredeter"/>
    <w:uiPriority w:val="99"/>
    <w:unhideWhenUsed/>
    <w:rsid w:val="007B1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389/fmicb.2020.00208" TargetMode="External"/><Relationship Id="rId5" Type="http://schemas.openxmlformats.org/officeDocument/2006/relationships/hyperlink" Target="https://doi.org/10.1046/j.1365-2672.2001.01288.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Altimira</dc:creator>
  <cp:keywords/>
  <dc:description/>
  <cp:lastModifiedBy>Fabiola Altimira</cp:lastModifiedBy>
  <cp:revision>1</cp:revision>
  <dcterms:created xsi:type="dcterms:W3CDTF">2022-01-16T22:38:00Z</dcterms:created>
  <dcterms:modified xsi:type="dcterms:W3CDTF">2022-01-17T05:04:00Z</dcterms:modified>
</cp:coreProperties>
</file>