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E2" w:rsidRPr="000275E2" w:rsidRDefault="000275E2" w:rsidP="000275E2">
      <w:pPr>
        <w:spacing w:after="0" w:line="240" w:lineRule="auto"/>
        <w:jc w:val="center"/>
        <w:rPr>
          <w:b/>
          <w:sz w:val="24"/>
          <w:szCs w:val="24"/>
        </w:rPr>
      </w:pPr>
    </w:p>
    <w:tbl>
      <w:tblPr>
        <w:tblW w:w="12665" w:type="dxa"/>
        <w:jc w:val="center"/>
        <w:tblCellMar>
          <w:left w:w="70" w:type="dxa"/>
          <w:right w:w="70" w:type="dxa"/>
        </w:tblCellMar>
        <w:tblLook w:val="04A0" w:firstRow="1" w:lastRow="0" w:firstColumn="1" w:lastColumn="0" w:noHBand="0" w:noVBand="1"/>
      </w:tblPr>
      <w:tblGrid>
        <w:gridCol w:w="1198"/>
        <w:gridCol w:w="2120"/>
        <w:gridCol w:w="2675"/>
        <w:gridCol w:w="2253"/>
        <w:gridCol w:w="3090"/>
        <w:gridCol w:w="709"/>
        <w:gridCol w:w="620"/>
      </w:tblGrid>
      <w:tr w:rsidR="00A7496B" w:rsidRPr="000823C7" w:rsidTr="00A7496B">
        <w:trPr>
          <w:cantSplit/>
          <w:trHeight w:val="576"/>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6118" w:rsidRPr="00557C14" w:rsidRDefault="001A6118" w:rsidP="00A7496B">
            <w:pPr>
              <w:spacing w:after="0" w:line="240" w:lineRule="auto"/>
              <w:jc w:val="center"/>
              <w:rPr>
                <w:rFonts w:ascii="Calibri" w:eastAsia="Times New Roman" w:hAnsi="Calibri" w:cs="Calibri"/>
                <w:b/>
                <w:bCs/>
                <w:color w:val="FFFFFF" w:themeColor="background1"/>
                <w:lang w:eastAsia="es-CL"/>
              </w:rPr>
            </w:pPr>
            <w:r w:rsidRPr="00557C14">
              <w:rPr>
                <w:rFonts w:ascii="Calibri" w:eastAsia="Times New Roman" w:hAnsi="Calibri" w:cs="Calibri"/>
                <w:b/>
                <w:bCs/>
                <w:color w:val="FFFFFF" w:themeColor="background1"/>
                <w:lang w:eastAsia="es-CL"/>
              </w:rPr>
              <w:t>P</w:t>
            </w:r>
            <w:r w:rsidR="00A7496B">
              <w:rPr>
                <w:rFonts w:ascii="Calibri" w:eastAsia="Times New Roman" w:hAnsi="Calibri" w:cs="Calibri"/>
                <w:b/>
                <w:bCs/>
                <w:color w:val="FFFFFF" w:themeColor="background1"/>
                <w:lang w:eastAsia="es-CL"/>
              </w:rPr>
              <w:t>erspectiva</w:t>
            </w:r>
          </w:p>
        </w:tc>
        <w:tc>
          <w:tcPr>
            <w:tcW w:w="2127" w:type="dxa"/>
            <w:tcBorders>
              <w:top w:val="single" w:sz="4" w:space="0" w:color="auto"/>
              <w:left w:val="nil"/>
              <w:bottom w:val="single" w:sz="4" w:space="0" w:color="auto"/>
              <w:right w:val="single" w:sz="4" w:space="0" w:color="auto"/>
            </w:tcBorders>
            <w:shd w:val="clear" w:color="auto" w:fill="00B050"/>
            <w:vAlign w:val="center"/>
            <w:hideMark/>
          </w:tcPr>
          <w:p w:rsidR="001A6118" w:rsidRPr="00557C14" w:rsidRDefault="001A6118" w:rsidP="00D21B64">
            <w:pPr>
              <w:spacing w:after="0" w:line="240" w:lineRule="auto"/>
              <w:jc w:val="center"/>
              <w:rPr>
                <w:rFonts w:ascii="Calibri" w:eastAsia="Times New Roman" w:hAnsi="Calibri" w:cs="Calibri"/>
                <w:b/>
                <w:bCs/>
                <w:color w:val="FFFFFF" w:themeColor="background1"/>
                <w:lang w:eastAsia="es-CL"/>
              </w:rPr>
            </w:pPr>
            <w:r w:rsidRPr="00557C14">
              <w:rPr>
                <w:rFonts w:ascii="Calibri" w:eastAsia="Times New Roman" w:hAnsi="Calibri" w:cs="Calibri"/>
                <w:b/>
                <w:bCs/>
                <w:color w:val="FFFFFF" w:themeColor="background1"/>
                <w:lang w:eastAsia="es-CL"/>
              </w:rPr>
              <w:t>Principales líneas de acción</w:t>
            </w:r>
          </w:p>
        </w:tc>
        <w:tc>
          <w:tcPr>
            <w:tcW w:w="2693" w:type="dxa"/>
            <w:tcBorders>
              <w:top w:val="single" w:sz="4" w:space="0" w:color="auto"/>
              <w:left w:val="nil"/>
              <w:bottom w:val="single" w:sz="4" w:space="0" w:color="auto"/>
              <w:right w:val="single" w:sz="4" w:space="0" w:color="auto"/>
            </w:tcBorders>
            <w:shd w:val="clear" w:color="auto" w:fill="00B050"/>
            <w:vAlign w:val="center"/>
            <w:hideMark/>
          </w:tcPr>
          <w:p w:rsidR="001A6118" w:rsidRPr="00557C14" w:rsidRDefault="001A6118" w:rsidP="00D21B64">
            <w:pPr>
              <w:spacing w:after="0" w:line="240" w:lineRule="auto"/>
              <w:jc w:val="center"/>
              <w:rPr>
                <w:rFonts w:ascii="Calibri" w:eastAsia="Times New Roman" w:hAnsi="Calibri" w:cs="Calibri"/>
                <w:b/>
                <w:bCs/>
                <w:color w:val="FFFFFF" w:themeColor="background1"/>
                <w:lang w:eastAsia="es-CL"/>
              </w:rPr>
            </w:pPr>
            <w:r w:rsidRPr="00557C14">
              <w:rPr>
                <w:rFonts w:ascii="Calibri" w:eastAsia="Times New Roman" w:hAnsi="Calibri" w:cs="Calibri"/>
                <w:b/>
                <w:bCs/>
                <w:color w:val="FFFFFF" w:themeColor="background1"/>
                <w:lang w:eastAsia="es-CL"/>
              </w:rPr>
              <w:t>Objetivo Estratégico</w:t>
            </w:r>
          </w:p>
        </w:tc>
        <w:tc>
          <w:tcPr>
            <w:tcW w:w="2268" w:type="dxa"/>
            <w:tcBorders>
              <w:top w:val="single" w:sz="4" w:space="0" w:color="auto"/>
              <w:left w:val="nil"/>
              <w:bottom w:val="single" w:sz="4" w:space="0" w:color="auto"/>
              <w:right w:val="single" w:sz="4" w:space="0" w:color="auto"/>
            </w:tcBorders>
            <w:shd w:val="clear" w:color="auto" w:fill="00B050"/>
            <w:vAlign w:val="center"/>
            <w:hideMark/>
          </w:tcPr>
          <w:p w:rsidR="001A6118" w:rsidRPr="00557C14" w:rsidRDefault="001A6118" w:rsidP="00967A56">
            <w:pPr>
              <w:spacing w:after="0" w:line="240" w:lineRule="auto"/>
              <w:jc w:val="center"/>
              <w:rPr>
                <w:rFonts w:ascii="Calibri" w:eastAsia="Times New Roman" w:hAnsi="Calibri" w:cs="Calibri"/>
                <w:b/>
                <w:bCs/>
                <w:color w:val="FFFFFF" w:themeColor="background1"/>
                <w:lang w:eastAsia="es-CL"/>
              </w:rPr>
            </w:pPr>
            <w:r>
              <w:rPr>
                <w:rFonts w:ascii="Calibri" w:eastAsia="Times New Roman" w:hAnsi="Calibri" w:cs="Calibri"/>
                <w:b/>
                <w:bCs/>
                <w:color w:val="FFFFFF" w:themeColor="background1"/>
                <w:lang w:eastAsia="es-CL"/>
              </w:rPr>
              <w:t>Objetivo Específico 2020</w:t>
            </w:r>
            <w:r w:rsidRPr="00557C14">
              <w:rPr>
                <w:rFonts w:ascii="Calibri" w:eastAsia="Times New Roman" w:hAnsi="Calibri" w:cs="Calibri"/>
                <w:b/>
                <w:bCs/>
                <w:color w:val="FFFFFF" w:themeColor="background1"/>
                <w:lang w:eastAsia="es-CL"/>
              </w:rPr>
              <w:t xml:space="preserve"> (Táctico)</w:t>
            </w:r>
          </w:p>
        </w:tc>
        <w:tc>
          <w:tcPr>
            <w:tcW w:w="3118" w:type="dxa"/>
            <w:tcBorders>
              <w:top w:val="single" w:sz="4" w:space="0" w:color="auto"/>
              <w:left w:val="nil"/>
              <w:bottom w:val="single" w:sz="4" w:space="0" w:color="auto"/>
              <w:right w:val="single" w:sz="4" w:space="0" w:color="auto"/>
            </w:tcBorders>
            <w:shd w:val="clear" w:color="auto" w:fill="00B050"/>
            <w:vAlign w:val="center"/>
            <w:hideMark/>
          </w:tcPr>
          <w:p w:rsidR="001A6118" w:rsidRPr="00557C14" w:rsidRDefault="001A6118" w:rsidP="00D21B64">
            <w:pPr>
              <w:spacing w:after="0" w:line="240" w:lineRule="auto"/>
              <w:jc w:val="center"/>
              <w:rPr>
                <w:rFonts w:ascii="Calibri" w:eastAsia="Times New Roman" w:hAnsi="Calibri" w:cs="Calibri"/>
                <w:b/>
                <w:bCs/>
                <w:color w:val="FFFFFF" w:themeColor="background1"/>
                <w:lang w:eastAsia="es-CL"/>
              </w:rPr>
            </w:pPr>
            <w:r w:rsidRPr="00557C14">
              <w:rPr>
                <w:rFonts w:ascii="Calibri" w:eastAsia="Times New Roman" w:hAnsi="Calibri" w:cs="Calibri"/>
                <w:b/>
                <w:bCs/>
                <w:color w:val="FFFFFF" w:themeColor="background1"/>
                <w:lang w:eastAsia="es-CL"/>
              </w:rPr>
              <w:t xml:space="preserve">Indicador </w:t>
            </w:r>
          </w:p>
        </w:tc>
        <w:tc>
          <w:tcPr>
            <w:tcW w:w="709" w:type="dxa"/>
            <w:tcBorders>
              <w:top w:val="single" w:sz="4" w:space="0" w:color="auto"/>
              <w:left w:val="nil"/>
              <w:bottom w:val="single" w:sz="4" w:space="0" w:color="auto"/>
              <w:right w:val="single" w:sz="4" w:space="0" w:color="auto"/>
            </w:tcBorders>
            <w:shd w:val="clear" w:color="auto" w:fill="00B050"/>
            <w:vAlign w:val="center"/>
            <w:hideMark/>
          </w:tcPr>
          <w:p w:rsidR="001A6118" w:rsidRPr="00557C14" w:rsidRDefault="001A6118" w:rsidP="00967A56">
            <w:pPr>
              <w:spacing w:after="0" w:line="240" w:lineRule="auto"/>
              <w:jc w:val="center"/>
              <w:rPr>
                <w:rFonts w:ascii="Calibri" w:eastAsia="Times New Roman" w:hAnsi="Calibri" w:cs="Calibri"/>
                <w:b/>
                <w:bCs/>
                <w:color w:val="FFFFFF" w:themeColor="background1"/>
                <w:lang w:eastAsia="es-CL"/>
              </w:rPr>
            </w:pPr>
            <w:r>
              <w:rPr>
                <w:rFonts w:ascii="Calibri" w:eastAsia="Times New Roman" w:hAnsi="Calibri" w:cs="Calibri"/>
                <w:b/>
                <w:bCs/>
                <w:color w:val="FFFFFF" w:themeColor="background1"/>
                <w:lang w:eastAsia="es-CL"/>
              </w:rPr>
              <w:t>Meta 2020</w:t>
            </w:r>
          </w:p>
        </w:tc>
        <w:tc>
          <w:tcPr>
            <w:tcW w:w="621"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6118" w:rsidRPr="00557C14" w:rsidRDefault="00625163" w:rsidP="00625163">
            <w:pPr>
              <w:spacing w:after="0" w:line="240" w:lineRule="auto"/>
              <w:jc w:val="center"/>
              <w:rPr>
                <w:rFonts w:ascii="Calibri" w:eastAsia="Times New Roman" w:hAnsi="Calibri" w:cs="Calibri"/>
                <w:b/>
                <w:bCs/>
                <w:color w:val="FFFFFF" w:themeColor="background1"/>
                <w:lang w:eastAsia="es-CL"/>
              </w:rPr>
            </w:pPr>
            <w:r>
              <w:rPr>
                <w:rFonts w:ascii="Calibri" w:eastAsia="Times New Roman" w:hAnsi="Calibri" w:cs="Calibri"/>
                <w:b/>
                <w:bCs/>
                <w:color w:val="FFFFFF" w:themeColor="background1"/>
                <w:lang w:eastAsia="es-CL"/>
              </w:rPr>
              <w:t>Nota</w:t>
            </w:r>
          </w:p>
        </w:tc>
      </w:tr>
      <w:tr w:rsidR="00A7496B" w:rsidRPr="00F139B4" w:rsidTr="00A7496B">
        <w:trPr>
          <w:cantSplit/>
          <w:trHeight w:val="2016"/>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118" w:rsidRPr="00F139B4" w:rsidRDefault="001A6118" w:rsidP="00A7496B">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R</w:t>
            </w:r>
            <w:r w:rsidR="00A7496B">
              <w:rPr>
                <w:rFonts w:ascii="Calibri" w:eastAsia="Times New Roman" w:hAnsi="Calibri" w:cs="Calibri"/>
                <w:lang w:eastAsia="es-CL"/>
              </w:rPr>
              <w:t>esultados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6118" w:rsidRDefault="001A6118" w:rsidP="00930FDA">
            <w:pPr>
              <w:spacing w:after="0" w:line="240" w:lineRule="auto"/>
              <w:rPr>
                <w:rFonts w:ascii="Calibri" w:eastAsia="Times New Roman" w:hAnsi="Calibri" w:cs="Calibri"/>
                <w:lang w:eastAsia="es-CL"/>
              </w:rPr>
            </w:pPr>
            <w:r w:rsidRPr="00F139B4">
              <w:rPr>
                <w:rFonts w:ascii="Calibri" w:eastAsia="Times New Roman" w:hAnsi="Calibri" w:cs="Calibri"/>
                <w:lang w:eastAsia="es-CL"/>
              </w:rPr>
              <w:t>Fortalecimiento de</w:t>
            </w:r>
            <w:r w:rsidR="00930FDA">
              <w:rPr>
                <w:rFonts w:ascii="Calibri" w:eastAsia="Times New Roman" w:hAnsi="Calibri" w:cs="Calibri"/>
                <w:lang w:eastAsia="es-CL"/>
              </w:rPr>
              <w:t>l</w:t>
            </w:r>
            <w:r w:rsidRPr="00F139B4">
              <w:rPr>
                <w:rFonts w:ascii="Calibri" w:eastAsia="Times New Roman" w:hAnsi="Calibri" w:cs="Calibri"/>
                <w:lang w:eastAsia="es-CL"/>
              </w:rPr>
              <w:t xml:space="preserve"> patrimonio fito y zoosanitario</w:t>
            </w:r>
            <w:r w:rsidR="00930FDA">
              <w:rPr>
                <w:rFonts w:ascii="Calibri" w:eastAsia="Times New Roman" w:hAnsi="Calibri" w:cs="Calibri"/>
                <w:lang w:eastAsia="es-CL"/>
              </w:rPr>
              <w:t xml:space="preserve"> del país para apoyar el desarrollo sustentable y competitivo de sector silvoagropecuario nacional.</w:t>
            </w:r>
          </w:p>
          <w:p w:rsidR="00B5616E" w:rsidRPr="00F139B4" w:rsidRDefault="00B5616E" w:rsidP="00930FDA">
            <w:pPr>
              <w:spacing w:after="0" w:line="240" w:lineRule="auto"/>
              <w:rPr>
                <w:rFonts w:ascii="Calibri" w:eastAsia="Times New Roman" w:hAnsi="Calibri" w:cs="Calibri"/>
                <w:lang w:eastAsia="es-CL"/>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A6118" w:rsidRPr="00F139B4" w:rsidRDefault="006E37DA" w:rsidP="00D21B64">
            <w:pPr>
              <w:spacing w:after="0" w:line="240" w:lineRule="auto"/>
              <w:rPr>
                <w:rFonts w:ascii="Calibri" w:eastAsia="Times New Roman" w:hAnsi="Calibri" w:cs="Calibri"/>
                <w:lang w:eastAsia="es-CL"/>
              </w:rPr>
            </w:pPr>
            <w:r w:rsidRPr="006E37DA">
              <w:rPr>
                <w:rFonts w:ascii="Calibri" w:eastAsia="Times New Roman" w:hAnsi="Calibri" w:cs="Calibri"/>
                <w:lang w:eastAsia="es-CL"/>
              </w:rPr>
              <w:t>Conservar y proteger los recursos naturales renovables de competencia del SAG, conforme a las normas vigentes.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Recuperar el potencial productivo de los suelos agropecuarios degradados y mantener los niveles de mejoramiento alcanzados.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 xml:space="preserve">Porcentaje de superficie bonificada con una o más prácticas del Sistema de Incentivos para la Sustentabilidad Agroambiental de los Suelos Agropecuarios en el año t respecto a la superficie estimada a bonificar en el año 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100%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 1</w:t>
            </w:r>
          </w:p>
          <w:p w:rsidR="001A6118" w:rsidRPr="00F139B4" w:rsidRDefault="001A6118" w:rsidP="00D21B64">
            <w:pPr>
              <w:spacing w:after="0" w:line="240" w:lineRule="auto"/>
              <w:jc w:val="center"/>
              <w:rPr>
                <w:rFonts w:ascii="Calibri" w:eastAsia="Times New Roman" w:hAnsi="Calibri" w:cs="Calibri"/>
                <w:lang w:eastAsia="es-CL"/>
              </w:rPr>
            </w:pPr>
          </w:p>
        </w:tc>
      </w:tr>
      <w:tr w:rsidR="00A7496B" w:rsidRPr="00F139B4" w:rsidTr="00A7496B">
        <w:trPr>
          <w:cantSplit/>
          <w:trHeight w:val="2016"/>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A7496B" w:rsidP="00A7496B">
            <w:pPr>
              <w:spacing w:after="0" w:line="240" w:lineRule="auto"/>
              <w:jc w:val="center"/>
              <w:rPr>
                <w:rFonts w:ascii="Calibri" w:eastAsia="Times New Roman" w:hAnsi="Calibri" w:cs="Calibri"/>
                <w:lang w:eastAsia="es-CL"/>
              </w:rPr>
            </w:pPr>
            <w:r w:rsidRPr="00A7496B">
              <w:rPr>
                <w:rFonts w:ascii="Calibri" w:eastAsia="Times New Roman" w:hAnsi="Calibri" w:cs="Calibri"/>
                <w:lang w:eastAsia="es-CL"/>
              </w:rPr>
              <w:t xml:space="preserve">Resultados </w:t>
            </w:r>
          </w:p>
        </w:tc>
        <w:tc>
          <w:tcPr>
            <w:tcW w:w="2127" w:type="dxa"/>
            <w:tcBorders>
              <w:top w:val="nil"/>
              <w:left w:val="nil"/>
              <w:bottom w:val="single" w:sz="4" w:space="0" w:color="auto"/>
              <w:right w:val="single" w:sz="4" w:space="0" w:color="auto"/>
            </w:tcBorders>
            <w:shd w:val="clear" w:color="auto" w:fill="auto"/>
            <w:vAlign w:val="center"/>
            <w:hideMark/>
          </w:tcPr>
          <w:p w:rsidR="001A6118" w:rsidRDefault="00930FDA" w:rsidP="00D21B64">
            <w:pPr>
              <w:spacing w:after="0" w:line="240" w:lineRule="auto"/>
              <w:rPr>
                <w:rFonts w:ascii="Calibri" w:eastAsia="Times New Roman" w:hAnsi="Calibri" w:cs="Calibri"/>
                <w:lang w:eastAsia="es-CL"/>
              </w:rPr>
            </w:pPr>
            <w:r w:rsidRPr="00930FDA">
              <w:rPr>
                <w:rFonts w:ascii="Calibri" w:eastAsia="Times New Roman" w:hAnsi="Calibri" w:cs="Calibri"/>
                <w:lang w:eastAsia="es-CL"/>
              </w:rPr>
              <w:t>Fortalecimiento del patrimonio fito y zoosanitario del país para apoyar el desarrollo sustentable y competitivo de sector silvoagropecuario nacional.</w:t>
            </w:r>
          </w:p>
          <w:p w:rsidR="00B5616E" w:rsidRPr="00F139B4" w:rsidRDefault="00B5616E" w:rsidP="00D21B64">
            <w:pPr>
              <w:spacing w:after="0" w:line="240" w:lineRule="auto"/>
              <w:rPr>
                <w:rFonts w:ascii="Calibri" w:eastAsia="Times New Roman" w:hAnsi="Calibri" w:cs="Calibri"/>
                <w:lang w:eastAsia="es-CL"/>
              </w:rPr>
            </w:pPr>
          </w:p>
        </w:tc>
        <w:tc>
          <w:tcPr>
            <w:tcW w:w="2693" w:type="dxa"/>
            <w:tcBorders>
              <w:top w:val="nil"/>
              <w:left w:val="nil"/>
              <w:bottom w:val="single" w:sz="4" w:space="0" w:color="auto"/>
              <w:right w:val="single" w:sz="4" w:space="0" w:color="auto"/>
            </w:tcBorders>
            <w:shd w:val="clear" w:color="auto" w:fill="auto"/>
            <w:vAlign w:val="center"/>
            <w:hideMark/>
          </w:tcPr>
          <w:p w:rsidR="001A6118" w:rsidRPr="00F139B4" w:rsidRDefault="006E37DA" w:rsidP="00D21B64">
            <w:pPr>
              <w:spacing w:after="0" w:line="240" w:lineRule="auto"/>
              <w:rPr>
                <w:rFonts w:ascii="Calibri" w:eastAsia="Times New Roman" w:hAnsi="Calibri" w:cs="Calibri"/>
                <w:lang w:eastAsia="es-CL"/>
              </w:rPr>
            </w:pPr>
            <w:r w:rsidRPr="006E37DA">
              <w:rPr>
                <w:rFonts w:ascii="Calibri" w:eastAsia="Times New Roman" w:hAnsi="Calibri" w:cs="Calibri"/>
                <w:lang w:eastAsia="es-CL"/>
              </w:rPr>
              <w:t>Fortalecer el patrimonio fito y zoosanitario del país para apoyar el desarrollo sustentable y competitivo del sector silvoagropecuario nacional velando por el cumplimiento de la normativa de los ámbitos de acción del Servicio.</w:t>
            </w:r>
          </w:p>
        </w:tc>
        <w:tc>
          <w:tcPr>
            <w:tcW w:w="226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Mitigar el riesgo de introducción de Polilla gitana (Lymantria dispar) en el territorio nacional, por naves provenientes de países de riesgo.</w:t>
            </w:r>
          </w:p>
        </w:tc>
        <w:tc>
          <w:tcPr>
            <w:tcW w:w="3118" w:type="dxa"/>
            <w:tcBorders>
              <w:top w:val="nil"/>
              <w:left w:val="nil"/>
              <w:bottom w:val="single" w:sz="4" w:space="0" w:color="auto"/>
              <w:right w:val="single" w:sz="4" w:space="0" w:color="auto"/>
            </w:tcBorders>
            <w:shd w:val="clear" w:color="auto" w:fill="auto"/>
            <w:vAlign w:val="center"/>
            <w:hideMark/>
          </w:tcPr>
          <w:p w:rsidR="001A6118" w:rsidRPr="00F139B4" w:rsidRDefault="00E9043A"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Porcentaje de naves de riesgo alto sometidas a inspección obligatoria y específica con luz día para la detección de polilla gitana raza asiática en puertos nacionales.</w:t>
            </w:r>
          </w:p>
        </w:tc>
        <w:tc>
          <w:tcPr>
            <w:tcW w:w="709"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90%</w:t>
            </w:r>
          </w:p>
        </w:tc>
        <w:tc>
          <w:tcPr>
            <w:tcW w:w="621"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 xml:space="preserve">2   </w:t>
            </w:r>
          </w:p>
        </w:tc>
      </w:tr>
      <w:tr w:rsidR="00A7496B" w:rsidRPr="00F139B4" w:rsidTr="00A7496B">
        <w:trPr>
          <w:cantSplit/>
          <w:trHeight w:val="1728"/>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A7496B" w:rsidP="00A7496B">
            <w:pPr>
              <w:spacing w:after="0" w:line="240" w:lineRule="auto"/>
              <w:jc w:val="center"/>
              <w:rPr>
                <w:rFonts w:ascii="Calibri" w:eastAsia="Times New Roman" w:hAnsi="Calibri" w:cs="Calibri"/>
                <w:lang w:eastAsia="es-CL"/>
              </w:rPr>
            </w:pPr>
            <w:r w:rsidRPr="00A7496B">
              <w:rPr>
                <w:rFonts w:ascii="Calibri" w:eastAsia="Times New Roman" w:hAnsi="Calibri" w:cs="Calibri"/>
                <w:lang w:eastAsia="es-CL"/>
              </w:rPr>
              <w:lastRenderedPageBreak/>
              <w:t xml:space="preserve">Resultados </w:t>
            </w:r>
          </w:p>
        </w:tc>
        <w:tc>
          <w:tcPr>
            <w:tcW w:w="2127" w:type="dxa"/>
            <w:tcBorders>
              <w:top w:val="nil"/>
              <w:left w:val="nil"/>
              <w:bottom w:val="single" w:sz="4" w:space="0" w:color="auto"/>
              <w:right w:val="single" w:sz="4" w:space="0" w:color="auto"/>
            </w:tcBorders>
            <w:shd w:val="clear" w:color="auto" w:fill="auto"/>
            <w:vAlign w:val="center"/>
            <w:hideMark/>
          </w:tcPr>
          <w:p w:rsidR="001A6118" w:rsidRDefault="00930FDA" w:rsidP="00D21B64">
            <w:pPr>
              <w:spacing w:after="0" w:line="240" w:lineRule="auto"/>
              <w:rPr>
                <w:rFonts w:ascii="Calibri" w:eastAsia="Times New Roman" w:hAnsi="Calibri" w:cs="Calibri"/>
                <w:lang w:eastAsia="es-CL"/>
              </w:rPr>
            </w:pPr>
            <w:r w:rsidRPr="00930FDA">
              <w:rPr>
                <w:rFonts w:ascii="Calibri" w:eastAsia="Times New Roman" w:hAnsi="Calibri" w:cs="Calibri"/>
                <w:lang w:eastAsia="es-CL"/>
              </w:rPr>
              <w:t>Fortalecimiento del patrimonio fito y zoosanitario del país para apoyar el desarrollo sustentable y competitivo de sector silvoagropecuario nacional.</w:t>
            </w:r>
          </w:p>
          <w:p w:rsidR="00B5616E" w:rsidRPr="00F139B4" w:rsidRDefault="00B5616E" w:rsidP="00D21B64">
            <w:pPr>
              <w:spacing w:after="0" w:line="240" w:lineRule="auto"/>
              <w:rPr>
                <w:rFonts w:ascii="Calibri" w:eastAsia="Times New Roman" w:hAnsi="Calibri" w:cs="Calibri"/>
                <w:lang w:eastAsia="es-CL"/>
              </w:rPr>
            </w:pPr>
          </w:p>
        </w:tc>
        <w:tc>
          <w:tcPr>
            <w:tcW w:w="2693" w:type="dxa"/>
            <w:tcBorders>
              <w:top w:val="nil"/>
              <w:left w:val="nil"/>
              <w:bottom w:val="single" w:sz="4" w:space="0" w:color="auto"/>
              <w:right w:val="single" w:sz="4" w:space="0" w:color="auto"/>
            </w:tcBorders>
            <w:shd w:val="clear" w:color="auto" w:fill="auto"/>
            <w:vAlign w:val="center"/>
            <w:hideMark/>
          </w:tcPr>
          <w:p w:rsidR="001A6118" w:rsidRPr="00F139B4" w:rsidRDefault="006E37DA" w:rsidP="00D21B64">
            <w:pPr>
              <w:spacing w:after="0" w:line="240" w:lineRule="auto"/>
              <w:rPr>
                <w:rFonts w:ascii="Calibri" w:eastAsia="Times New Roman" w:hAnsi="Calibri" w:cs="Calibri"/>
                <w:lang w:eastAsia="es-CL"/>
              </w:rPr>
            </w:pPr>
            <w:r w:rsidRPr="006E37DA">
              <w:rPr>
                <w:rFonts w:ascii="Calibri" w:eastAsia="Times New Roman" w:hAnsi="Calibri" w:cs="Calibri"/>
                <w:lang w:eastAsia="es-CL"/>
              </w:rPr>
              <w:t>Fortalecer el patrimonio fito y zoosanitario del país para apoyar el desarrollo sustentable y competitivo del sector silvoagropecuario nacional velando por el cumplimiento de la normativa de los ámbitos de acción del Servicio.</w:t>
            </w:r>
          </w:p>
        </w:tc>
        <w:tc>
          <w:tcPr>
            <w:tcW w:w="226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Conocer, mantener y mejorar la  condición zoosanitaria nacional.</w:t>
            </w:r>
          </w:p>
        </w:tc>
        <w:tc>
          <w:tcPr>
            <w:tcW w:w="311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 xml:space="preserve">Porcentaje de enfermedades de importancia zoosanitaria ausentes en Chile en el año t respecto al total de enfermedades de importancia zoosanitaria para el año t. </w:t>
            </w:r>
          </w:p>
        </w:tc>
        <w:tc>
          <w:tcPr>
            <w:tcW w:w="709"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100%</w:t>
            </w:r>
          </w:p>
        </w:tc>
        <w:tc>
          <w:tcPr>
            <w:tcW w:w="621"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 xml:space="preserve">3    </w:t>
            </w:r>
          </w:p>
        </w:tc>
      </w:tr>
      <w:tr w:rsidR="00A7496B" w:rsidRPr="00F139B4" w:rsidTr="00A7496B">
        <w:trPr>
          <w:cantSplit/>
          <w:trHeight w:val="1728"/>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A7496B" w:rsidP="00A7496B">
            <w:pPr>
              <w:spacing w:after="0" w:line="240" w:lineRule="auto"/>
              <w:jc w:val="center"/>
              <w:rPr>
                <w:rFonts w:ascii="Calibri" w:eastAsia="Times New Roman" w:hAnsi="Calibri" w:cs="Calibri"/>
                <w:lang w:eastAsia="es-CL"/>
              </w:rPr>
            </w:pPr>
            <w:r w:rsidRPr="00A7496B">
              <w:rPr>
                <w:rFonts w:ascii="Calibri" w:eastAsia="Times New Roman" w:hAnsi="Calibri" w:cs="Calibri"/>
                <w:lang w:eastAsia="es-CL"/>
              </w:rPr>
              <w:t xml:space="preserve">Resultados </w:t>
            </w:r>
          </w:p>
        </w:tc>
        <w:tc>
          <w:tcPr>
            <w:tcW w:w="2127" w:type="dxa"/>
            <w:tcBorders>
              <w:top w:val="nil"/>
              <w:left w:val="nil"/>
              <w:bottom w:val="single" w:sz="4" w:space="0" w:color="auto"/>
              <w:right w:val="single" w:sz="4" w:space="0" w:color="auto"/>
            </w:tcBorders>
            <w:shd w:val="clear" w:color="auto" w:fill="auto"/>
            <w:vAlign w:val="center"/>
            <w:hideMark/>
          </w:tcPr>
          <w:p w:rsidR="001A6118" w:rsidRDefault="00930FDA" w:rsidP="00D21B64">
            <w:pPr>
              <w:spacing w:after="0" w:line="240" w:lineRule="auto"/>
              <w:rPr>
                <w:rFonts w:ascii="Calibri" w:eastAsia="Times New Roman" w:hAnsi="Calibri" w:cs="Calibri"/>
                <w:lang w:eastAsia="es-CL"/>
              </w:rPr>
            </w:pPr>
            <w:r w:rsidRPr="00930FDA">
              <w:rPr>
                <w:rFonts w:ascii="Calibri" w:eastAsia="Times New Roman" w:hAnsi="Calibri" w:cs="Calibri"/>
                <w:lang w:eastAsia="es-CL"/>
              </w:rPr>
              <w:t>Fortalecimiento del patrimonio fito y zoosanitario del país para apoyar el desarrollo sustentable y competitivo de sector silvoagropecuario nacional.</w:t>
            </w:r>
          </w:p>
          <w:p w:rsidR="00B5616E" w:rsidRPr="00F139B4" w:rsidRDefault="00B5616E" w:rsidP="00D21B64">
            <w:pPr>
              <w:spacing w:after="0" w:line="240" w:lineRule="auto"/>
              <w:rPr>
                <w:rFonts w:ascii="Calibri" w:eastAsia="Times New Roman" w:hAnsi="Calibri" w:cs="Calibri"/>
                <w:lang w:eastAsia="es-CL"/>
              </w:rPr>
            </w:pPr>
          </w:p>
        </w:tc>
        <w:tc>
          <w:tcPr>
            <w:tcW w:w="2693" w:type="dxa"/>
            <w:tcBorders>
              <w:top w:val="nil"/>
              <w:left w:val="nil"/>
              <w:bottom w:val="single" w:sz="4" w:space="0" w:color="auto"/>
              <w:right w:val="single" w:sz="4" w:space="0" w:color="auto"/>
            </w:tcBorders>
            <w:shd w:val="clear" w:color="auto" w:fill="auto"/>
            <w:vAlign w:val="center"/>
            <w:hideMark/>
          </w:tcPr>
          <w:p w:rsidR="001A6118" w:rsidRPr="00F139B4" w:rsidRDefault="006E37DA" w:rsidP="00D21B64">
            <w:pPr>
              <w:spacing w:after="0" w:line="240" w:lineRule="auto"/>
              <w:rPr>
                <w:rFonts w:ascii="Calibri" w:eastAsia="Times New Roman" w:hAnsi="Calibri" w:cs="Calibri"/>
                <w:lang w:eastAsia="es-CL"/>
              </w:rPr>
            </w:pPr>
            <w:r w:rsidRPr="006E37DA">
              <w:rPr>
                <w:rFonts w:ascii="Calibri" w:eastAsia="Times New Roman" w:hAnsi="Calibri" w:cs="Calibri"/>
                <w:lang w:eastAsia="es-CL"/>
              </w:rPr>
              <w:t>Fortalecer el patrimonio fito y zoosanitario del país para apoyar el desarrollo sustentable y competitivo del sector silvoagropecuario nacional velando por el cumplimiento de la normativa de los ámbitos de acción del Servicio.</w:t>
            </w:r>
          </w:p>
        </w:tc>
        <w:tc>
          <w:tcPr>
            <w:tcW w:w="226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C</w:t>
            </w:r>
            <w:r w:rsidR="000E1093">
              <w:rPr>
                <w:rFonts w:ascii="Calibri" w:eastAsia="Times New Roman" w:hAnsi="Calibri" w:cs="Calibri"/>
                <w:lang w:eastAsia="es-CL"/>
              </w:rPr>
              <w:t>ontrolar y/o erradicar Lobesia b</w:t>
            </w:r>
            <w:r w:rsidRPr="00F139B4">
              <w:rPr>
                <w:rFonts w:ascii="Calibri" w:eastAsia="Times New Roman" w:hAnsi="Calibri" w:cs="Calibri"/>
                <w:lang w:eastAsia="es-CL"/>
              </w:rPr>
              <w:t>otrana en el territorio nacional, de acuerdo a la estrategia técnica establecida.</w:t>
            </w:r>
          </w:p>
        </w:tc>
        <w:tc>
          <w:tcPr>
            <w:tcW w:w="311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 xml:space="preserve">Porcentaje de detecciones de Lobesia botrana en predios de vid en el área </w:t>
            </w:r>
            <w:r w:rsidR="000E1093" w:rsidRPr="00F139B4">
              <w:rPr>
                <w:rFonts w:ascii="Calibri" w:eastAsia="Times New Roman" w:hAnsi="Calibri" w:cs="Calibri"/>
                <w:lang w:eastAsia="es-CL"/>
              </w:rPr>
              <w:t>libre con</w:t>
            </w:r>
            <w:r w:rsidRPr="00F139B4">
              <w:rPr>
                <w:rFonts w:ascii="Calibri" w:eastAsia="Times New Roman" w:hAnsi="Calibri" w:cs="Calibri"/>
                <w:lang w:eastAsia="es-CL"/>
              </w:rPr>
              <w:t xml:space="preserve"> implementación de vigilancia en el tiempo máximo establecido en el año t.                                                      </w:t>
            </w:r>
          </w:p>
        </w:tc>
        <w:tc>
          <w:tcPr>
            <w:tcW w:w="709"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100%</w:t>
            </w:r>
          </w:p>
        </w:tc>
        <w:tc>
          <w:tcPr>
            <w:tcW w:w="621"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 xml:space="preserve">4    </w:t>
            </w:r>
          </w:p>
        </w:tc>
      </w:tr>
      <w:tr w:rsidR="00A7496B" w:rsidRPr="00F139B4" w:rsidTr="00A7496B">
        <w:trPr>
          <w:cantSplit/>
          <w:trHeight w:val="1728"/>
          <w:jc w:val="center"/>
        </w:trPr>
        <w:tc>
          <w:tcPr>
            <w:tcW w:w="1129" w:type="dxa"/>
            <w:tcBorders>
              <w:top w:val="nil"/>
              <w:left w:val="single" w:sz="4" w:space="0" w:color="auto"/>
              <w:bottom w:val="single" w:sz="4" w:space="0" w:color="000000"/>
              <w:right w:val="single" w:sz="4" w:space="0" w:color="auto"/>
            </w:tcBorders>
            <w:shd w:val="clear" w:color="auto" w:fill="auto"/>
            <w:vAlign w:val="center"/>
            <w:hideMark/>
          </w:tcPr>
          <w:p w:rsidR="001A6118" w:rsidRPr="00F139B4" w:rsidRDefault="00A7496B" w:rsidP="00A7496B">
            <w:pPr>
              <w:spacing w:after="0" w:line="240" w:lineRule="auto"/>
              <w:jc w:val="center"/>
              <w:rPr>
                <w:rFonts w:ascii="Calibri" w:eastAsia="Times New Roman" w:hAnsi="Calibri" w:cs="Calibri"/>
                <w:lang w:eastAsia="es-CL"/>
              </w:rPr>
            </w:pPr>
            <w:r w:rsidRPr="00A7496B">
              <w:rPr>
                <w:rFonts w:ascii="Calibri" w:eastAsia="Times New Roman" w:hAnsi="Calibri" w:cs="Calibri"/>
                <w:lang w:eastAsia="es-CL"/>
              </w:rPr>
              <w:lastRenderedPageBreak/>
              <w:t xml:space="preserve">Resultados </w:t>
            </w:r>
          </w:p>
        </w:tc>
        <w:tc>
          <w:tcPr>
            <w:tcW w:w="2127" w:type="dxa"/>
            <w:tcBorders>
              <w:top w:val="nil"/>
              <w:left w:val="single" w:sz="4" w:space="0" w:color="auto"/>
              <w:bottom w:val="single" w:sz="4" w:space="0" w:color="000000"/>
              <w:right w:val="single" w:sz="4" w:space="0" w:color="auto"/>
            </w:tcBorders>
            <w:shd w:val="clear" w:color="auto" w:fill="auto"/>
            <w:vAlign w:val="center"/>
            <w:hideMark/>
          </w:tcPr>
          <w:p w:rsidR="001A6118" w:rsidRDefault="00930FDA" w:rsidP="00D21B64">
            <w:pPr>
              <w:spacing w:after="0" w:line="240" w:lineRule="auto"/>
              <w:rPr>
                <w:rFonts w:ascii="Calibri" w:eastAsia="Times New Roman" w:hAnsi="Calibri" w:cs="Calibri"/>
                <w:lang w:eastAsia="es-CL"/>
              </w:rPr>
            </w:pPr>
            <w:r w:rsidRPr="00930FDA">
              <w:rPr>
                <w:rFonts w:ascii="Calibri" w:eastAsia="Times New Roman" w:hAnsi="Calibri" w:cs="Calibri"/>
                <w:lang w:eastAsia="es-CL"/>
              </w:rPr>
              <w:t>Fortalecimiento del patrimonio fito y zoosanitario del país para apoyar el desarrollo sustentable y competitivo de sector silvoagropecuario nacional.</w:t>
            </w:r>
          </w:p>
          <w:p w:rsidR="00B5616E" w:rsidRPr="00F139B4" w:rsidRDefault="00B5616E" w:rsidP="00D21B64">
            <w:pPr>
              <w:spacing w:after="0" w:line="240" w:lineRule="auto"/>
              <w:rPr>
                <w:rFonts w:ascii="Calibri" w:eastAsia="Times New Roman" w:hAnsi="Calibri" w:cs="Calibri"/>
                <w:lang w:eastAsia="es-CL"/>
              </w:rPr>
            </w:pP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1A6118" w:rsidRPr="00F139B4" w:rsidRDefault="006E37DA" w:rsidP="00D21B64">
            <w:pPr>
              <w:spacing w:after="0" w:line="240" w:lineRule="auto"/>
              <w:rPr>
                <w:rFonts w:ascii="Calibri" w:eastAsia="Times New Roman" w:hAnsi="Calibri" w:cs="Calibri"/>
                <w:lang w:eastAsia="es-CL"/>
              </w:rPr>
            </w:pPr>
            <w:r w:rsidRPr="006E37DA">
              <w:rPr>
                <w:rFonts w:ascii="Calibri" w:eastAsia="Times New Roman" w:hAnsi="Calibri" w:cs="Calibri"/>
                <w:lang w:eastAsia="es-CL"/>
              </w:rPr>
              <w:t>Fortalecer el patrimonio fito y zoosanitario del país para apoyar el desarrollo sustentable y competitivo del sector silvoagropecuario nacional velando por el cumplimiento de la normativa de los ámbitos de acción del Servicio.</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1A6118" w:rsidRPr="00F139B4" w:rsidRDefault="001A6118" w:rsidP="00E71059">
            <w:pPr>
              <w:spacing w:after="0" w:line="240" w:lineRule="auto"/>
              <w:rPr>
                <w:rFonts w:ascii="Calibri" w:eastAsia="Times New Roman" w:hAnsi="Calibri" w:cs="Calibri"/>
                <w:lang w:eastAsia="es-CL"/>
              </w:rPr>
            </w:pPr>
            <w:r w:rsidRPr="00F139B4">
              <w:rPr>
                <w:rFonts w:ascii="Calibri" w:eastAsia="Times New Roman" w:hAnsi="Calibri" w:cs="Calibri"/>
                <w:lang w:eastAsia="es-CL"/>
              </w:rPr>
              <w:t>Monitorear  Brucelosis bovina, de acuerdo a la estrategia técnica establecida.</w:t>
            </w:r>
          </w:p>
        </w:tc>
        <w:tc>
          <w:tcPr>
            <w:tcW w:w="311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Porcentaje de predios bovinos muestreados para la vigilancia de Brucelosis bovina en el año t respecto de lo programado en el año t.</w:t>
            </w:r>
          </w:p>
        </w:tc>
        <w:tc>
          <w:tcPr>
            <w:tcW w:w="709"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100%</w:t>
            </w:r>
          </w:p>
        </w:tc>
        <w:tc>
          <w:tcPr>
            <w:tcW w:w="621"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 xml:space="preserve">5    </w:t>
            </w:r>
          </w:p>
        </w:tc>
      </w:tr>
      <w:tr w:rsidR="00A7496B" w:rsidRPr="00F139B4" w:rsidTr="00A7496B">
        <w:trPr>
          <w:cantSplit/>
          <w:trHeight w:val="1728"/>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A7496B" w:rsidP="00A7496B">
            <w:pPr>
              <w:spacing w:after="0" w:line="240" w:lineRule="auto"/>
              <w:jc w:val="center"/>
              <w:rPr>
                <w:rFonts w:ascii="Calibri" w:eastAsia="Times New Roman" w:hAnsi="Calibri" w:cs="Calibri"/>
                <w:lang w:eastAsia="es-CL"/>
              </w:rPr>
            </w:pPr>
            <w:r w:rsidRPr="00A7496B">
              <w:rPr>
                <w:rFonts w:ascii="Calibri" w:eastAsia="Times New Roman" w:hAnsi="Calibri" w:cs="Calibri"/>
                <w:lang w:eastAsia="es-CL"/>
              </w:rPr>
              <w:t xml:space="preserve">Resultados </w:t>
            </w:r>
          </w:p>
        </w:tc>
        <w:tc>
          <w:tcPr>
            <w:tcW w:w="2127" w:type="dxa"/>
            <w:tcBorders>
              <w:top w:val="nil"/>
              <w:left w:val="nil"/>
              <w:bottom w:val="single" w:sz="4" w:space="0" w:color="auto"/>
              <w:right w:val="single" w:sz="4" w:space="0" w:color="auto"/>
            </w:tcBorders>
            <w:shd w:val="clear" w:color="auto" w:fill="auto"/>
            <w:vAlign w:val="center"/>
            <w:hideMark/>
          </w:tcPr>
          <w:p w:rsidR="001A6118" w:rsidRDefault="00930FDA" w:rsidP="00D21B64">
            <w:pPr>
              <w:spacing w:after="0" w:line="240" w:lineRule="auto"/>
              <w:rPr>
                <w:rFonts w:ascii="Calibri" w:eastAsia="Times New Roman" w:hAnsi="Calibri" w:cs="Calibri"/>
                <w:lang w:eastAsia="es-CL"/>
              </w:rPr>
            </w:pPr>
            <w:r w:rsidRPr="00930FDA">
              <w:rPr>
                <w:rFonts w:ascii="Calibri" w:eastAsia="Times New Roman" w:hAnsi="Calibri" w:cs="Calibri"/>
                <w:lang w:eastAsia="es-CL"/>
              </w:rPr>
              <w:t>Fortalecimiento del patrimonio fito y zoosanitario del país para apoyar el desarrollo sustentable y competitivo de sector silvoagropecuario nacional.</w:t>
            </w:r>
          </w:p>
          <w:p w:rsidR="00B5616E" w:rsidRPr="00F139B4" w:rsidRDefault="00B5616E" w:rsidP="00D21B64">
            <w:pPr>
              <w:spacing w:after="0" w:line="240" w:lineRule="auto"/>
              <w:rPr>
                <w:rFonts w:ascii="Calibri" w:eastAsia="Times New Roman" w:hAnsi="Calibri" w:cs="Calibri"/>
                <w:lang w:eastAsia="es-CL"/>
              </w:rPr>
            </w:pPr>
          </w:p>
        </w:tc>
        <w:tc>
          <w:tcPr>
            <w:tcW w:w="2693" w:type="dxa"/>
            <w:tcBorders>
              <w:top w:val="nil"/>
              <w:left w:val="nil"/>
              <w:bottom w:val="single" w:sz="4" w:space="0" w:color="auto"/>
              <w:right w:val="single" w:sz="4" w:space="0" w:color="auto"/>
            </w:tcBorders>
            <w:shd w:val="clear" w:color="auto" w:fill="auto"/>
            <w:vAlign w:val="center"/>
            <w:hideMark/>
          </w:tcPr>
          <w:p w:rsidR="001A6118" w:rsidRPr="00F139B4" w:rsidRDefault="006E37DA" w:rsidP="00D21B64">
            <w:pPr>
              <w:spacing w:after="0" w:line="240" w:lineRule="auto"/>
              <w:rPr>
                <w:rFonts w:ascii="Calibri" w:eastAsia="Times New Roman" w:hAnsi="Calibri" w:cs="Calibri"/>
                <w:lang w:eastAsia="es-CL"/>
              </w:rPr>
            </w:pPr>
            <w:r w:rsidRPr="006E37DA">
              <w:rPr>
                <w:rFonts w:ascii="Calibri" w:eastAsia="Times New Roman" w:hAnsi="Calibri" w:cs="Calibri"/>
                <w:lang w:eastAsia="es-CL"/>
              </w:rPr>
              <w:t>Fortalecer el patrimonio fito y zoosanitario del país para apoyar el desarrollo sustentable y competitivo del sector silvoagropecuario nacional velando por el cumplimiento de la normativa de los ámbitos de acción del Servicio.</w:t>
            </w:r>
          </w:p>
        </w:tc>
        <w:tc>
          <w:tcPr>
            <w:tcW w:w="226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Erradicar eventos de Moscas de la fruta de importancia económica.</w:t>
            </w:r>
          </w:p>
        </w:tc>
        <w:tc>
          <w:tcPr>
            <w:tcW w:w="311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 xml:space="preserve">Porcentaje de eventos de Moscas de la Fruta confirmados erradicados respecto a los detectados.  </w:t>
            </w:r>
          </w:p>
        </w:tc>
        <w:tc>
          <w:tcPr>
            <w:tcW w:w="709"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100%</w:t>
            </w:r>
          </w:p>
        </w:tc>
        <w:tc>
          <w:tcPr>
            <w:tcW w:w="621"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 xml:space="preserve">6    </w:t>
            </w:r>
          </w:p>
        </w:tc>
      </w:tr>
      <w:tr w:rsidR="00A7496B" w:rsidRPr="00F139B4" w:rsidTr="00A7496B">
        <w:trPr>
          <w:cantSplit/>
          <w:trHeight w:val="86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A7496B" w:rsidP="00A7496B">
            <w:pPr>
              <w:spacing w:after="0" w:line="240" w:lineRule="auto"/>
              <w:jc w:val="center"/>
              <w:rPr>
                <w:rFonts w:ascii="Calibri" w:eastAsia="Times New Roman" w:hAnsi="Calibri" w:cs="Calibri"/>
                <w:lang w:eastAsia="es-CL"/>
              </w:rPr>
            </w:pPr>
            <w:r w:rsidRPr="00A7496B">
              <w:rPr>
                <w:rFonts w:ascii="Calibri" w:eastAsia="Times New Roman" w:hAnsi="Calibri" w:cs="Calibri"/>
                <w:lang w:eastAsia="es-CL"/>
              </w:rPr>
              <w:lastRenderedPageBreak/>
              <w:t xml:space="preserve">Resultados </w:t>
            </w:r>
          </w:p>
        </w:tc>
        <w:tc>
          <w:tcPr>
            <w:tcW w:w="2127" w:type="dxa"/>
            <w:tcBorders>
              <w:top w:val="nil"/>
              <w:left w:val="nil"/>
              <w:bottom w:val="single" w:sz="4" w:space="0" w:color="auto"/>
              <w:right w:val="single" w:sz="4" w:space="0" w:color="auto"/>
            </w:tcBorders>
            <w:shd w:val="clear" w:color="auto" w:fill="auto"/>
            <w:vAlign w:val="center"/>
            <w:hideMark/>
          </w:tcPr>
          <w:p w:rsidR="001A6118" w:rsidRPr="00F139B4" w:rsidRDefault="00930FDA" w:rsidP="00B5616E">
            <w:pPr>
              <w:rPr>
                <w:rFonts w:ascii="Calibri" w:eastAsia="Times New Roman" w:hAnsi="Calibri" w:cs="Calibri"/>
                <w:lang w:eastAsia="es-CL"/>
              </w:rPr>
            </w:pPr>
            <w:r w:rsidRPr="00930FDA">
              <w:rPr>
                <w:rFonts w:ascii="Calibri" w:eastAsia="Times New Roman" w:hAnsi="Calibri" w:cs="Calibri"/>
                <w:lang w:eastAsia="es-CL"/>
              </w:rPr>
              <w:t>Modernizar el proceso de fiscalización del SAG y de atención de denuncias por infracción, mediante la implementación de nuevas tecnologías.</w:t>
            </w:r>
          </w:p>
        </w:tc>
        <w:tc>
          <w:tcPr>
            <w:tcW w:w="2693" w:type="dxa"/>
            <w:tcBorders>
              <w:top w:val="nil"/>
              <w:left w:val="nil"/>
              <w:bottom w:val="single" w:sz="4" w:space="0" w:color="auto"/>
              <w:right w:val="single" w:sz="4" w:space="0" w:color="auto"/>
            </w:tcBorders>
            <w:shd w:val="clear" w:color="auto" w:fill="auto"/>
            <w:vAlign w:val="center"/>
            <w:hideMark/>
          </w:tcPr>
          <w:p w:rsidR="001A6118" w:rsidRPr="00F139B4" w:rsidRDefault="006E37DA" w:rsidP="00D21B64">
            <w:pPr>
              <w:spacing w:after="0" w:line="240" w:lineRule="auto"/>
              <w:rPr>
                <w:rFonts w:ascii="Calibri" w:eastAsia="Times New Roman" w:hAnsi="Calibri" w:cs="Calibri"/>
                <w:lang w:eastAsia="es-CL"/>
              </w:rPr>
            </w:pPr>
            <w:r w:rsidRPr="006E37DA">
              <w:rPr>
                <w:rFonts w:ascii="Calibri" w:eastAsia="Times New Roman" w:hAnsi="Calibri" w:cs="Calibri"/>
                <w:lang w:eastAsia="es-CL"/>
              </w:rPr>
              <w:t>Fortalecer el patrimonio fito y zoosanitario del país para apoyar el desarrollo sustentable y competitivo del sector silvoagropecuario nacional velando por el cumplimiento de la normativa de los ámbitos de acción del Servicio.</w:t>
            </w:r>
          </w:p>
        </w:tc>
        <w:tc>
          <w:tcPr>
            <w:tcW w:w="226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Dar cumplimiento al Plan de Fiscalización.</w:t>
            </w:r>
          </w:p>
        </w:tc>
        <w:tc>
          <w:tcPr>
            <w:tcW w:w="311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Porcentaje de cumplimiento del plan anual de fiscalización   </w:t>
            </w:r>
          </w:p>
        </w:tc>
        <w:tc>
          <w:tcPr>
            <w:tcW w:w="709"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4B1F37">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100%</w:t>
            </w:r>
          </w:p>
        </w:tc>
        <w:tc>
          <w:tcPr>
            <w:tcW w:w="621"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 xml:space="preserve">7    </w:t>
            </w:r>
          </w:p>
        </w:tc>
      </w:tr>
      <w:tr w:rsidR="00A7496B" w:rsidRPr="00F139B4" w:rsidTr="00A7496B">
        <w:trPr>
          <w:cantSplit/>
          <w:trHeight w:val="2016"/>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A7496B" w:rsidP="00A7496B">
            <w:pPr>
              <w:spacing w:after="0" w:line="240" w:lineRule="auto"/>
              <w:jc w:val="center"/>
              <w:rPr>
                <w:rFonts w:ascii="Calibri" w:eastAsia="Times New Roman" w:hAnsi="Calibri" w:cs="Calibri"/>
                <w:lang w:eastAsia="es-CL"/>
              </w:rPr>
            </w:pPr>
            <w:r w:rsidRPr="00A7496B">
              <w:rPr>
                <w:rFonts w:ascii="Calibri" w:eastAsia="Times New Roman" w:hAnsi="Calibri" w:cs="Calibri"/>
                <w:lang w:eastAsia="es-CL"/>
              </w:rPr>
              <w:t xml:space="preserve">Resultados </w:t>
            </w:r>
          </w:p>
        </w:tc>
        <w:tc>
          <w:tcPr>
            <w:tcW w:w="2127" w:type="dxa"/>
            <w:tcBorders>
              <w:top w:val="nil"/>
              <w:left w:val="nil"/>
              <w:bottom w:val="single" w:sz="4" w:space="0" w:color="auto"/>
              <w:right w:val="single" w:sz="4" w:space="0" w:color="auto"/>
            </w:tcBorders>
            <w:shd w:val="clear" w:color="auto" w:fill="auto"/>
            <w:vAlign w:val="center"/>
          </w:tcPr>
          <w:p w:rsidR="001A6118" w:rsidRPr="00F139B4" w:rsidRDefault="00930FDA" w:rsidP="00D21B64">
            <w:pPr>
              <w:spacing w:after="0" w:line="240" w:lineRule="auto"/>
              <w:rPr>
                <w:rFonts w:ascii="Calibri" w:eastAsia="Times New Roman" w:hAnsi="Calibri" w:cs="Calibri"/>
                <w:lang w:eastAsia="es-CL"/>
              </w:rPr>
            </w:pPr>
            <w:r w:rsidRPr="00930FDA">
              <w:rPr>
                <w:rFonts w:ascii="Calibri" w:eastAsia="Times New Roman" w:hAnsi="Calibri" w:cs="Calibri"/>
                <w:lang w:eastAsia="es-CL"/>
              </w:rPr>
              <w:t>Promover el uso de nuevas tecnologías en la operación y administración del Servicio.</w:t>
            </w:r>
          </w:p>
        </w:tc>
        <w:tc>
          <w:tcPr>
            <w:tcW w:w="2693" w:type="dxa"/>
            <w:tcBorders>
              <w:top w:val="nil"/>
              <w:left w:val="nil"/>
              <w:bottom w:val="single" w:sz="4" w:space="0" w:color="auto"/>
              <w:right w:val="single" w:sz="4" w:space="0" w:color="auto"/>
            </w:tcBorders>
            <w:shd w:val="clear" w:color="auto" w:fill="auto"/>
            <w:vAlign w:val="center"/>
            <w:hideMark/>
          </w:tcPr>
          <w:p w:rsidR="001A6118" w:rsidRPr="00F139B4" w:rsidRDefault="00930FDA" w:rsidP="00D21B64">
            <w:pPr>
              <w:spacing w:after="0" w:line="240" w:lineRule="auto"/>
              <w:rPr>
                <w:rFonts w:ascii="Calibri" w:eastAsia="Times New Roman" w:hAnsi="Calibri" w:cs="Calibri"/>
                <w:lang w:eastAsia="es-CL"/>
              </w:rPr>
            </w:pPr>
            <w:r w:rsidRPr="00930FDA">
              <w:rPr>
                <w:rFonts w:ascii="Calibri" w:eastAsia="Times New Roman" w:hAnsi="Calibri" w:cs="Calibri"/>
                <w:lang w:eastAsia="es-CL"/>
              </w:rPr>
              <w:t>Simplificar y agilizar la gestión de los servicios entregados para una mejor y oportuna atención a usuarios/as, a través de la generación y actualización de normativas y procedimientos.</w:t>
            </w:r>
          </w:p>
        </w:tc>
        <w:tc>
          <w:tcPr>
            <w:tcW w:w="226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Reducir re emisiones de certificados fito y zoosanitarios de exportación por causa SAG.</w:t>
            </w:r>
          </w:p>
        </w:tc>
        <w:tc>
          <w:tcPr>
            <w:tcW w:w="3118" w:type="dxa"/>
            <w:tcBorders>
              <w:top w:val="nil"/>
              <w:left w:val="nil"/>
              <w:bottom w:val="single" w:sz="4" w:space="0" w:color="auto"/>
              <w:right w:val="single" w:sz="4" w:space="0" w:color="auto"/>
            </w:tcBorders>
            <w:shd w:val="clear" w:color="auto" w:fill="auto"/>
            <w:vAlign w:val="center"/>
            <w:hideMark/>
          </w:tcPr>
          <w:p w:rsidR="001A6118"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Porcentaje certificados fito y zoosanitarios reemitidos por causa SAG y documentos aclaratorios emitidos por causa SAG asociados al proceso certificación exportaciones año t respecto a total certificados fito y zoosanita</w:t>
            </w:r>
            <w:r w:rsidR="00B5616E">
              <w:rPr>
                <w:rFonts w:ascii="Calibri" w:eastAsia="Times New Roman" w:hAnsi="Calibri" w:cs="Calibri"/>
                <w:lang w:eastAsia="es-CL"/>
              </w:rPr>
              <w:t>rios exportación emitidos año t</w:t>
            </w:r>
            <w:r w:rsidRPr="00F139B4">
              <w:rPr>
                <w:rFonts w:ascii="Calibri" w:eastAsia="Times New Roman" w:hAnsi="Calibri" w:cs="Calibri"/>
                <w:lang w:eastAsia="es-CL"/>
              </w:rPr>
              <w:t>.  </w:t>
            </w:r>
          </w:p>
          <w:p w:rsidR="00B5616E" w:rsidRPr="00F139B4" w:rsidRDefault="00B5616E" w:rsidP="00D21B64">
            <w:pPr>
              <w:spacing w:after="0" w:line="240" w:lineRule="auto"/>
              <w:rPr>
                <w:rFonts w:ascii="Calibri" w:eastAsia="Times New Roman" w:hAnsi="Calibri" w:cs="Calibri"/>
                <w:lang w:eastAsia="es-C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118" w:rsidRPr="00F139B4" w:rsidRDefault="001A6118" w:rsidP="004B1F37">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0,19%</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 xml:space="preserve">8    </w:t>
            </w:r>
          </w:p>
        </w:tc>
      </w:tr>
      <w:tr w:rsidR="00A7496B" w:rsidRPr="00F139B4" w:rsidTr="00A7496B">
        <w:trPr>
          <w:cantSplit/>
          <w:trHeight w:val="144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A7496B" w:rsidP="00A7496B">
            <w:pPr>
              <w:spacing w:after="0" w:line="240" w:lineRule="auto"/>
              <w:jc w:val="center"/>
              <w:rPr>
                <w:rFonts w:ascii="Calibri" w:eastAsia="Times New Roman" w:hAnsi="Calibri" w:cs="Calibri"/>
                <w:lang w:eastAsia="es-CL"/>
              </w:rPr>
            </w:pPr>
            <w:r w:rsidRPr="00A7496B">
              <w:rPr>
                <w:rFonts w:ascii="Calibri" w:eastAsia="Times New Roman" w:hAnsi="Calibri" w:cs="Calibri"/>
                <w:lang w:eastAsia="es-CL"/>
              </w:rPr>
              <w:lastRenderedPageBreak/>
              <w:t xml:space="preserve">Resultados </w:t>
            </w:r>
          </w:p>
        </w:tc>
        <w:tc>
          <w:tcPr>
            <w:tcW w:w="2127" w:type="dxa"/>
            <w:tcBorders>
              <w:top w:val="nil"/>
              <w:left w:val="nil"/>
              <w:bottom w:val="single" w:sz="4" w:space="0" w:color="auto"/>
              <w:right w:val="single" w:sz="4" w:space="0" w:color="auto"/>
            </w:tcBorders>
            <w:shd w:val="clear" w:color="auto" w:fill="auto"/>
            <w:vAlign w:val="center"/>
            <w:hideMark/>
          </w:tcPr>
          <w:p w:rsidR="001A6118" w:rsidRPr="00F139B4" w:rsidRDefault="00930FDA" w:rsidP="00D21B64">
            <w:pPr>
              <w:spacing w:after="0" w:line="240" w:lineRule="auto"/>
              <w:rPr>
                <w:rFonts w:ascii="Calibri" w:eastAsia="Times New Roman" w:hAnsi="Calibri" w:cs="Calibri"/>
                <w:lang w:eastAsia="es-CL"/>
              </w:rPr>
            </w:pPr>
            <w:r w:rsidRPr="00930FDA">
              <w:rPr>
                <w:rFonts w:ascii="Calibri" w:eastAsia="Times New Roman" w:hAnsi="Calibri" w:cs="Calibri"/>
                <w:lang w:eastAsia="es-CL"/>
              </w:rPr>
              <w:t>Promover el uso de nuevas tecnologías en la operación y administración del Servicio.</w:t>
            </w:r>
          </w:p>
        </w:tc>
        <w:tc>
          <w:tcPr>
            <w:tcW w:w="2693" w:type="dxa"/>
            <w:tcBorders>
              <w:top w:val="nil"/>
              <w:left w:val="nil"/>
              <w:bottom w:val="single" w:sz="4" w:space="0" w:color="auto"/>
              <w:right w:val="single" w:sz="4" w:space="0" w:color="auto"/>
            </w:tcBorders>
            <w:shd w:val="clear" w:color="auto" w:fill="auto"/>
            <w:vAlign w:val="center"/>
            <w:hideMark/>
          </w:tcPr>
          <w:p w:rsidR="001A6118" w:rsidRDefault="006E37DA" w:rsidP="00D21B64">
            <w:pPr>
              <w:spacing w:after="0" w:line="240" w:lineRule="auto"/>
              <w:rPr>
                <w:rFonts w:ascii="Calibri" w:eastAsia="Times New Roman" w:hAnsi="Calibri" w:cs="Calibri"/>
                <w:lang w:eastAsia="es-CL"/>
              </w:rPr>
            </w:pPr>
            <w:r w:rsidRPr="006E37DA">
              <w:rPr>
                <w:rFonts w:ascii="Calibri" w:eastAsia="Times New Roman" w:hAnsi="Calibri" w:cs="Calibri"/>
                <w:lang w:eastAsia="es-CL"/>
              </w:rPr>
              <w:t>Simplificar y agilizar la gestión de los servicios entregados para una mejor y oportuna atención a usuarios/as, a través de la generación y actualización de normativas y procedimientos.</w:t>
            </w:r>
          </w:p>
          <w:p w:rsidR="00B5616E" w:rsidRPr="00F139B4" w:rsidRDefault="00B5616E" w:rsidP="00D21B64">
            <w:pPr>
              <w:spacing w:after="0" w:line="240" w:lineRule="auto"/>
              <w:rPr>
                <w:rFonts w:ascii="Calibri" w:eastAsia="Times New Roman" w:hAnsi="Calibri" w:cs="Calibri"/>
                <w:lang w:eastAsia="es-CL"/>
              </w:rPr>
            </w:pPr>
          </w:p>
        </w:tc>
        <w:tc>
          <w:tcPr>
            <w:tcW w:w="226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Mejorar la satisfacción de los usuarios de los procesos insertos en el Sistema de Gestión de la Calidad.</w:t>
            </w:r>
          </w:p>
        </w:tc>
        <w:tc>
          <w:tcPr>
            <w:tcW w:w="311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Porcentaje de procesos con nota promedio en Evaluación General,  igual o superior a 5,9 en el año t, en relación al total de procesos con medición en el año 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70%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 xml:space="preserve">9    </w:t>
            </w:r>
          </w:p>
        </w:tc>
      </w:tr>
      <w:tr w:rsidR="00A7496B" w:rsidRPr="00F139B4" w:rsidTr="00A7496B">
        <w:trPr>
          <w:cantSplit/>
          <w:trHeight w:val="1152"/>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A7496B" w:rsidP="00A7496B">
            <w:pPr>
              <w:spacing w:after="0" w:line="240" w:lineRule="auto"/>
              <w:jc w:val="center"/>
              <w:rPr>
                <w:rFonts w:ascii="Calibri" w:eastAsia="Times New Roman" w:hAnsi="Calibri" w:cs="Calibri"/>
                <w:lang w:eastAsia="es-CL"/>
              </w:rPr>
            </w:pPr>
            <w:r w:rsidRPr="00A7496B">
              <w:rPr>
                <w:rFonts w:ascii="Calibri" w:eastAsia="Times New Roman" w:hAnsi="Calibri" w:cs="Calibri"/>
                <w:lang w:eastAsia="es-CL"/>
              </w:rPr>
              <w:t xml:space="preserve">Resultados </w:t>
            </w:r>
          </w:p>
        </w:tc>
        <w:tc>
          <w:tcPr>
            <w:tcW w:w="2127" w:type="dxa"/>
            <w:tcBorders>
              <w:top w:val="nil"/>
              <w:left w:val="nil"/>
              <w:bottom w:val="single" w:sz="4" w:space="0" w:color="auto"/>
              <w:right w:val="single" w:sz="4" w:space="0" w:color="auto"/>
            </w:tcBorders>
            <w:shd w:val="clear" w:color="auto" w:fill="auto"/>
            <w:vAlign w:val="center"/>
            <w:hideMark/>
          </w:tcPr>
          <w:p w:rsidR="001A6118" w:rsidRPr="00F139B4" w:rsidRDefault="00930FDA" w:rsidP="00D21B64">
            <w:pPr>
              <w:spacing w:after="0" w:line="240" w:lineRule="auto"/>
              <w:rPr>
                <w:rFonts w:ascii="Calibri" w:eastAsia="Times New Roman" w:hAnsi="Calibri" w:cs="Calibri"/>
                <w:lang w:eastAsia="es-CL"/>
              </w:rPr>
            </w:pPr>
            <w:r w:rsidRPr="00930FDA">
              <w:rPr>
                <w:rFonts w:ascii="Calibri" w:eastAsia="Times New Roman" w:hAnsi="Calibri" w:cs="Calibri"/>
                <w:lang w:eastAsia="es-CL"/>
              </w:rPr>
              <w:t>Promover el uso de nuevas tecnologías en la operación y administración del Servicio.</w:t>
            </w:r>
          </w:p>
        </w:tc>
        <w:tc>
          <w:tcPr>
            <w:tcW w:w="2693" w:type="dxa"/>
            <w:tcBorders>
              <w:top w:val="nil"/>
              <w:left w:val="nil"/>
              <w:bottom w:val="single" w:sz="4" w:space="0" w:color="auto"/>
              <w:right w:val="single" w:sz="4" w:space="0" w:color="auto"/>
            </w:tcBorders>
            <w:shd w:val="clear" w:color="auto" w:fill="auto"/>
            <w:vAlign w:val="center"/>
            <w:hideMark/>
          </w:tcPr>
          <w:p w:rsidR="001A6118" w:rsidRDefault="006E37DA" w:rsidP="00D21B64">
            <w:pPr>
              <w:spacing w:after="0" w:line="240" w:lineRule="auto"/>
              <w:rPr>
                <w:rFonts w:ascii="Calibri" w:eastAsia="Times New Roman" w:hAnsi="Calibri" w:cs="Calibri"/>
                <w:lang w:eastAsia="es-CL"/>
              </w:rPr>
            </w:pPr>
            <w:r w:rsidRPr="006E37DA">
              <w:rPr>
                <w:rFonts w:ascii="Calibri" w:eastAsia="Times New Roman" w:hAnsi="Calibri" w:cs="Calibri"/>
                <w:lang w:eastAsia="es-CL"/>
              </w:rPr>
              <w:t>Simplificar y agilizar la gestión de los servicios entregados para una mejor y oportuna atención a usuarios/as, a través de la generación y actualización de normativas y procedimientos.</w:t>
            </w:r>
          </w:p>
          <w:p w:rsidR="00B5616E" w:rsidRPr="00F139B4" w:rsidRDefault="00B5616E" w:rsidP="00D21B64">
            <w:pPr>
              <w:spacing w:after="0" w:line="240" w:lineRule="auto"/>
              <w:rPr>
                <w:rFonts w:ascii="Calibri" w:eastAsia="Times New Roman" w:hAnsi="Calibri" w:cs="Calibri"/>
                <w:lang w:eastAsia="es-CL"/>
              </w:rPr>
            </w:pPr>
          </w:p>
        </w:tc>
        <w:tc>
          <w:tcPr>
            <w:tcW w:w="226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Cumplir con los plazos de los procesos asociados al control de insumos.</w:t>
            </w:r>
          </w:p>
        </w:tc>
        <w:tc>
          <w:tcPr>
            <w:tcW w:w="311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Porcentaje de solicitudes de registro de productos farmacéuticos en procesos que están dentro del plazo a la fecha.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100%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 </w:t>
            </w:r>
          </w:p>
        </w:tc>
      </w:tr>
      <w:tr w:rsidR="00A7496B" w:rsidRPr="00F139B4" w:rsidTr="00A7496B">
        <w:trPr>
          <w:cantSplit/>
          <w:trHeight w:val="1152"/>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A6118" w:rsidRPr="00F139B4" w:rsidRDefault="00A7496B" w:rsidP="00A7496B">
            <w:pPr>
              <w:spacing w:after="0" w:line="240" w:lineRule="auto"/>
              <w:jc w:val="center"/>
              <w:rPr>
                <w:rFonts w:ascii="Calibri" w:eastAsia="Times New Roman" w:hAnsi="Calibri" w:cs="Calibri"/>
                <w:lang w:eastAsia="es-CL"/>
              </w:rPr>
            </w:pPr>
            <w:r w:rsidRPr="00A7496B">
              <w:rPr>
                <w:rFonts w:ascii="Calibri" w:eastAsia="Times New Roman" w:hAnsi="Calibri" w:cs="Calibri"/>
                <w:lang w:eastAsia="es-CL"/>
              </w:rPr>
              <w:t xml:space="preserve">Resultados </w:t>
            </w:r>
          </w:p>
        </w:tc>
        <w:tc>
          <w:tcPr>
            <w:tcW w:w="2127" w:type="dxa"/>
            <w:tcBorders>
              <w:top w:val="nil"/>
              <w:left w:val="nil"/>
              <w:bottom w:val="single" w:sz="4" w:space="0" w:color="auto"/>
              <w:right w:val="single" w:sz="4" w:space="0" w:color="auto"/>
            </w:tcBorders>
            <w:shd w:val="clear" w:color="auto" w:fill="auto"/>
            <w:vAlign w:val="center"/>
            <w:hideMark/>
          </w:tcPr>
          <w:p w:rsidR="001A6118" w:rsidRPr="00F139B4" w:rsidRDefault="00930FDA" w:rsidP="00D21B64">
            <w:pPr>
              <w:spacing w:after="0" w:line="240" w:lineRule="auto"/>
              <w:rPr>
                <w:rFonts w:ascii="Calibri" w:eastAsia="Times New Roman" w:hAnsi="Calibri" w:cs="Calibri"/>
                <w:lang w:eastAsia="es-CL"/>
              </w:rPr>
            </w:pPr>
            <w:r w:rsidRPr="00930FDA">
              <w:rPr>
                <w:rFonts w:ascii="Calibri" w:eastAsia="Times New Roman" w:hAnsi="Calibri" w:cs="Calibri"/>
                <w:lang w:eastAsia="es-CL"/>
              </w:rPr>
              <w:t>Promover el uso de nuevas tecnologías en la operación y administración del Servicio.</w:t>
            </w:r>
          </w:p>
        </w:tc>
        <w:tc>
          <w:tcPr>
            <w:tcW w:w="2693" w:type="dxa"/>
            <w:tcBorders>
              <w:top w:val="nil"/>
              <w:left w:val="nil"/>
              <w:bottom w:val="single" w:sz="4" w:space="0" w:color="auto"/>
              <w:right w:val="single" w:sz="4" w:space="0" w:color="auto"/>
            </w:tcBorders>
            <w:shd w:val="clear" w:color="auto" w:fill="auto"/>
            <w:vAlign w:val="center"/>
            <w:hideMark/>
          </w:tcPr>
          <w:p w:rsidR="001A6118" w:rsidRDefault="006E37DA" w:rsidP="00D21B64">
            <w:pPr>
              <w:spacing w:after="0" w:line="240" w:lineRule="auto"/>
              <w:rPr>
                <w:rFonts w:ascii="Calibri" w:eastAsia="Times New Roman" w:hAnsi="Calibri" w:cs="Calibri"/>
                <w:lang w:eastAsia="es-CL"/>
              </w:rPr>
            </w:pPr>
            <w:r w:rsidRPr="006E37DA">
              <w:rPr>
                <w:rFonts w:ascii="Calibri" w:eastAsia="Times New Roman" w:hAnsi="Calibri" w:cs="Calibri"/>
                <w:lang w:eastAsia="es-CL"/>
              </w:rPr>
              <w:t>Simplificar y agilizar la gestión de los servicios entregados para una mejor y oportuna atención a usuarios/as, a través de la generación y actualización de normativas y procedimientos.</w:t>
            </w:r>
          </w:p>
          <w:p w:rsidR="00B5616E" w:rsidRPr="00F139B4" w:rsidRDefault="00B5616E" w:rsidP="00D21B64">
            <w:pPr>
              <w:spacing w:after="0" w:line="240" w:lineRule="auto"/>
              <w:rPr>
                <w:rFonts w:ascii="Calibri" w:eastAsia="Times New Roman" w:hAnsi="Calibri" w:cs="Calibri"/>
                <w:lang w:eastAsia="es-CL"/>
              </w:rPr>
            </w:pPr>
          </w:p>
        </w:tc>
        <w:tc>
          <w:tcPr>
            <w:tcW w:w="226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Cumplir con los plazos de los procesos asociados al control de insumos.</w:t>
            </w:r>
          </w:p>
        </w:tc>
        <w:tc>
          <w:tcPr>
            <w:tcW w:w="3118" w:type="dxa"/>
            <w:tcBorders>
              <w:top w:val="nil"/>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rPr>
                <w:rFonts w:ascii="Calibri" w:eastAsia="Times New Roman" w:hAnsi="Calibri" w:cs="Calibri"/>
                <w:lang w:eastAsia="es-CL"/>
              </w:rPr>
            </w:pPr>
            <w:r w:rsidRPr="00F139B4">
              <w:rPr>
                <w:rFonts w:ascii="Calibri" w:eastAsia="Times New Roman" w:hAnsi="Calibri" w:cs="Calibri"/>
                <w:lang w:eastAsia="es-CL"/>
              </w:rPr>
              <w:t>Porcentaje de solicitudes de autorización, renovación o modificación de plaguicidas en proceso que están dentro del plazo.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50%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118" w:rsidRPr="00F139B4" w:rsidRDefault="001A6118" w:rsidP="00D21B64">
            <w:pPr>
              <w:spacing w:after="0" w:line="240" w:lineRule="auto"/>
              <w:jc w:val="center"/>
              <w:rPr>
                <w:rFonts w:ascii="Calibri" w:eastAsia="Times New Roman" w:hAnsi="Calibri" w:cs="Calibri"/>
                <w:lang w:eastAsia="es-CL"/>
              </w:rPr>
            </w:pPr>
            <w:r w:rsidRPr="00F139B4">
              <w:rPr>
                <w:rFonts w:ascii="Calibri" w:eastAsia="Times New Roman" w:hAnsi="Calibri" w:cs="Calibri"/>
                <w:lang w:eastAsia="es-CL"/>
              </w:rPr>
              <w:t>10 </w:t>
            </w:r>
          </w:p>
        </w:tc>
      </w:tr>
    </w:tbl>
    <w:p w:rsidR="000275E2" w:rsidRPr="00F139B4" w:rsidRDefault="000275E2" w:rsidP="00D46120">
      <w:pPr>
        <w:jc w:val="right"/>
      </w:pPr>
    </w:p>
    <w:p w:rsidR="00B344B9" w:rsidRPr="00F139B4" w:rsidRDefault="000275E2" w:rsidP="00B344B9">
      <w:pPr>
        <w:spacing w:after="0" w:line="240" w:lineRule="auto"/>
        <w:jc w:val="both"/>
        <w:rPr>
          <w:sz w:val="18"/>
          <w:szCs w:val="18"/>
        </w:rPr>
      </w:pPr>
      <w:r w:rsidRPr="00F139B4">
        <w:rPr>
          <w:sz w:val="18"/>
          <w:szCs w:val="18"/>
        </w:rPr>
        <w:lastRenderedPageBreak/>
        <w:t>1.</w:t>
      </w:r>
      <w:r w:rsidR="008A7822" w:rsidRPr="00F139B4">
        <w:rPr>
          <w:sz w:val="18"/>
          <w:szCs w:val="18"/>
        </w:rPr>
        <w:t>-</w:t>
      </w:r>
      <w:r w:rsidRPr="00F139B4">
        <w:rPr>
          <w:sz w:val="18"/>
          <w:szCs w:val="18"/>
        </w:rPr>
        <w:t xml:space="preserve"> </w:t>
      </w:r>
      <w:r w:rsidR="00B344B9" w:rsidRPr="00F139B4">
        <w:rPr>
          <w:sz w:val="18"/>
          <w:szCs w:val="18"/>
        </w:rPr>
        <w:t xml:space="preserve">Para acceder a la bonificación, se debe presentar un plan de manejo a los concursos que para el efecto implementan el SAG o el INDAP, el que debe ser confeccionado por un operador acreditado, considerando la Tabla Anual de Costos que establece el Ministerio de Agricultura y debe contener, entre otros antecedentes, la individualización del área a intervenir con una o más prácticas bonificables por el Programa. Dichas prácticas se agrupan en cinco subprogramas: i) fertilización fosfatada, ii) incorporación de elementos químicos esenciales (se incluye enmiendas calcáreas), iii) establecimiento de praderas, iv) conservación de suelos (se incluye rotación de cultivos) y, v) rehabilitación de suelos.        </w:t>
      </w:r>
    </w:p>
    <w:p w:rsidR="008A7822" w:rsidRPr="00F139B4" w:rsidRDefault="00B344B9" w:rsidP="00B344B9">
      <w:pPr>
        <w:spacing w:after="0" w:line="240" w:lineRule="auto"/>
        <w:jc w:val="both"/>
        <w:rPr>
          <w:sz w:val="18"/>
          <w:szCs w:val="18"/>
        </w:rPr>
      </w:pPr>
      <w:r w:rsidRPr="00F139B4">
        <w:rPr>
          <w:sz w:val="18"/>
          <w:szCs w:val="18"/>
        </w:rPr>
        <w:t xml:space="preserve">        El reglamento del Programa señala qué práctica es aquella tarea específica que contribuye al mantenimiento y mejora del recurso suelo, en el ámbito de alguna de las actividades o subprogramas establecidos en el inciso segundo del artículo 3º de la ley Nº 20.412.</w:t>
      </w:r>
    </w:p>
    <w:p w:rsidR="008A7822" w:rsidRPr="00F139B4" w:rsidRDefault="008A7822" w:rsidP="000275E2">
      <w:pPr>
        <w:spacing w:after="0" w:line="240" w:lineRule="auto"/>
        <w:jc w:val="both"/>
        <w:rPr>
          <w:sz w:val="18"/>
          <w:szCs w:val="18"/>
        </w:rPr>
      </w:pPr>
    </w:p>
    <w:p w:rsidR="000275E2" w:rsidRPr="00F139B4" w:rsidRDefault="008A7822" w:rsidP="000275E2">
      <w:pPr>
        <w:spacing w:after="0" w:line="240" w:lineRule="auto"/>
        <w:jc w:val="both"/>
        <w:rPr>
          <w:sz w:val="18"/>
          <w:szCs w:val="18"/>
        </w:rPr>
      </w:pPr>
      <w:r w:rsidRPr="00F139B4">
        <w:rPr>
          <w:sz w:val="18"/>
          <w:szCs w:val="18"/>
        </w:rPr>
        <w:t>2.-</w:t>
      </w:r>
      <w:r w:rsidR="00E9043A" w:rsidRPr="00F139B4">
        <w:t xml:space="preserve"> </w:t>
      </w:r>
      <w:r w:rsidR="00E9043A" w:rsidRPr="00F139B4">
        <w:rPr>
          <w:sz w:val="18"/>
          <w:szCs w:val="18"/>
        </w:rPr>
        <w:t xml:space="preserve">En el mes de febrero del 2014 entra en vigencia la Resolución Ex. SAG N° 4.412 de 2013 que “Establece Requisitos Fitosanitarios para el Ingreso de Naves Provenientes de Áreas con Presencia de Polilla Gitana Raza Asiática (PGRA) Lymantria dispar </w:t>
      </w:r>
      <w:r w:rsidR="000E1093" w:rsidRPr="00F139B4">
        <w:rPr>
          <w:sz w:val="18"/>
          <w:szCs w:val="18"/>
        </w:rPr>
        <w:t>Asiática</w:t>
      </w:r>
      <w:r w:rsidR="00E9043A" w:rsidRPr="00F139B4">
        <w:rPr>
          <w:sz w:val="18"/>
          <w:szCs w:val="18"/>
        </w:rPr>
        <w:t xml:space="preserve"> Vnukovskij y Lymantria dispar Japónica (Motschulsky) (Lepidoptera, Lymantriidae)”, lo cual implica que todas las naves de transporte marítimo que arriben a primer puerto chileno),  y que zarparon  o permanecieron  en áreas con presencia PGRA y en época de vuelo de la hembra,  hasta 24 meses previos al arribo a Chile (en adelante Naves de Riesgo), deberán venir amparadas por un Certificado que señale que la nave se encuentra libre de esta plaga. Aquellas naves que no vengan amparados por el Certificado serán consideradas de riesgo alto y deberán ser sometidas, obligatoriamente, a una inspección fitosanitaria específica para la detección de la plaga, con luz día.</w:t>
      </w:r>
    </w:p>
    <w:p w:rsidR="000275E2" w:rsidRPr="00F139B4" w:rsidRDefault="00DA62A8" w:rsidP="000275E2">
      <w:pPr>
        <w:spacing w:after="0" w:line="240" w:lineRule="auto"/>
        <w:jc w:val="both"/>
        <w:rPr>
          <w:sz w:val="18"/>
          <w:szCs w:val="18"/>
        </w:rPr>
      </w:pPr>
      <w:r w:rsidRPr="00F139B4">
        <w:rPr>
          <w:sz w:val="18"/>
          <w:szCs w:val="18"/>
        </w:rPr>
        <w:t xml:space="preserve"> </w:t>
      </w:r>
    </w:p>
    <w:p w:rsidR="00F77766" w:rsidRPr="00F139B4" w:rsidRDefault="00DA62A8" w:rsidP="00F77766">
      <w:pPr>
        <w:spacing w:after="0" w:line="240" w:lineRule="auto"/>
        <w:jc w:val="both"/>
        <w:rPr>
          <w:sz w:val="18"/>
          <w:szCs w:val="18"/>
        </w:rPr>
      </w:pPr>
      <w:r w:rsidRPr="00F139B4">
        <w:rPr>
          <w:sz w:val="18"/>
          <w:szCs w:val="18"/>
        </w:rPr>
        <w:t xml:space="preserve">3.- </w:t>
      </w:r>
      <w:r w:rsidR="00F77766" w:rsidRPr="00F139B4">
        <w:rPr>
          <w:sz w:val="18"/>
          <w:szCs w:val="18"/>
        </w:rPr>
        <w:t xml:space="preserve">Las 16 enfermedades animales de importancia zoosanitaria son de denuncia obligatoria al SAG y de notificación a la Organización Mundial de Sanidad Animal (OIE). En Chile son consideradas enfermedades exóticas por encontrarse ausentes en el territorio nacional y son de importancia económica debido al daño o perdidas físicas que producirían a las explotaciones pecuarias si ingresaran.                         </w:t>
      </w:r>
    </w:p>
    <w:p w:rsidR="00F77766" w:rsidRPr="00F139B4" w:rsidRDefault="00F77766" w:rsidP="00F77766">
      <w:pPr>
        <w:spacing w:after="0" w:line="240" w:lineRule="auto"/>
        <w:jc w:val="both"/>
        <w:rPr>
          <w:sz w:val="18"/>
          <w:szCs w:val="18"/>
        </w:rPr>
      </w:pPr>
      <w:r w:rsidRPr="00F139B4">
        <w:rPr>
          <w:sz w:val="18"/>
          <w:szCs w:val="18"/>
        </w:rPr>
        <w:t xml:space="preserve">        Los conceptos utilizados y su definición para calcular el indicador son: Ausente: Se considerará como ausentes a las enfermedades que no hayan sido detectadas en las poblaciones susceptibles definidas, aun cuando habiendo aplicado medidas tendientes a su control y erradicación, existan brotes dentro del territorio nacional con el fin de demostrar la restitución de la condición previa a su ingreso y haya sido oficialmente informado a la OIE.        </w:t>
      </w:r>
    </w:p>
    <w:p w:rsidR="00DA62A8" w:rsidRPr="00F139B4" w:rsidRDefault="00F77766" w:rsidP="00F77766">
      <w:pPr>
        <w:spacing w:after="0" w:line="240" w:lineRule="auto"/>
        <w:jc w:val="both"/>
        <w:rPr>
          <w:sz w:val="18"/>
          <w:szCs w:val="18"/>
        </w:rPr>
      </w:pPr>
      <w:r w:rsidRPr="00F139B4">
        <w:rPr>
          <w:sz w:val="18"/>
          <w:szCs w:val="18"/>
        </w:rPr>
        <w:t xml:space="preserve">        Presencia de enfermedad:</w:t>
      </w:r>
      <w:r w:rsidR="00647EA4" w:rsidRPr="00F139B4">
        <w:rPr>
          <w:sz w:val="18"/>
          <w:szCs w:val="18"/>
        </w:rPr>
        <w:t xml:space="preserve"> </w:t>
      </w:r>
      <w:r w:rsidRPr="00F139B4">
        <w:rPr>
          <w:sz w:val="18"/>
          <w:szCs w:val="18"/>
        </w:rPr>
        <w:t>Se considerará enfermedad presente cuando, alguna de estas enfermedades haya sido detectada en una población susceptible definida y pese a las medidas aplicadas para su control y erradicación haya salido de una zona de contención, estableciéndose en una población y área geográfica, junto con la oficialización de la declaración de en</w:t>
      </w:r>
      <w:r w:rsidR="00647EA4" w:rsidRPr="00F139B4">
        <w:rPr>
          <w:sz w:val="18"/>
          <w:szCs w:val="18"/>
        </w:rPr>
        <w:t xml:space="preserve">fermedad endémica a la OIE. </w:t>
      </w:r>
      <w:r w:rsidRPr="00F139B4">
        <w:rPr>
          <w:sz w:val="18"/>
          <w:szCs w:val="18"/>
        </w:rPr>
        <w:t xml:space="preserve"> Las 16 enfermedades de importancia zoosanitaria son: 1) fiebre aftosa, 2) cowdriosis (bovino), 3) peste bovina, 4) peste de los pequeños rumiantes, 5) </w:t>
      </w:r>
      <w:r w:rsidR="000E1093" w:rsidRPr="00F139B4">
        <w:rPr>
          <w:sz w:val="18"/>
          <w:szCs w:val="18"/>
        </w:rPr>
        <w:t>perineumonía</w:t>
      </w:r>
      <w:r w:rsidRPr="00F139B4">
        <w:rPr>
          <w:sz w:val="18"/>
          <w:szCs w:val="18"/>
        </w:rPr>
        <w:t xml:space="preserve"> contagiosa bovina, 6) encefalomielitis por virus Nipah (cerdos),  7) viruela del camello (camélidos sudamericanos), 8) viruela ovina y caprina, 9) septicemia </w:t>
      </w:r>
      <w:r w:rsidR="000E1093" w:rsidRPr="00F139B4">
        <w:rPr>
          <w:sz w:val="18"/>
          <w:szCs w:val="18"/>
        </w:rPr>
        <w:t>hemorrágica</w:t>
      </w:r>
      <w:r w:rsidRPr="00F139B4">
        <w:rPr>
          <w:sz w:val="18"/>
          <w:szCs w:val="18"/>
        </w:rPr>
        <w:t xml:space="preserve"> (bovina), 10) peste porcina clásica, 11) peste porcina africana,12) influenza aviar altamente patógena, 13) new castle velogénico viscerotrópico, 14) prurigo lumbar (clásico o scrapie), 15) aujesky y 16) encefalopatía espongiforme bovina (clásica).                </w:t>
      </w:r>
    </w:p>
    <w:p w:rsidR="00DA62A8" w:rsidRPr="00F139B4" w:rsidRDefault="00DA62A8" w:rsidP="000275E2">
      <w:pPr>
        <w:spacing w:after="0" w:line="240" w:lineRule="auto"/>
        <w:jc w:val="both"/>
        <w:rPr>
          <w:sz w:val="18"/>
          <w:szCs w:val="18"/>
        </w:rPr>
      </w:pPr>
    </w:p>
    <w:p w:rsidR="000275E2" w:rsidRPr="00F139B4" w:rsidRDefault="008A7822" w:rsidP="000275E2">
      <w:pPr>
        <w:spacing w:after="0" w:line="240" w:lineRule="auto"/>
        <w:jc w:val="both"/>
        <w:rPr>
          <w:sz w:val="18"/>
          <w:szCs w:val="18"/>
        </w:rPr>
      </w:pPr>
      <w:r w:rsidRPr="00F139B4">
        <w:rPr>
          <w:sz w:val="18"/>
          <w:szCs w:val="18"/>
        </w:rPr>
        <w:t>4</w:t>
      </w:r>
      <w:r w:rsidR="000275E2" w:rsidRPr="00F139B4">
        <w:rPr>
          <w:sz w:val="18"/>
          <w:szCs w:val="18"/>
        </w:rPr>
        <w:t>.</w:t>
      </w:r>
      <w:r w:rsidRPr="00F139B4">
        <w:rPr>
          <w:sz w:val="18"/>
          <w:szCs w:val="18"/>
        </w:rPr>
        <w:t>-</w:t>
      </w:r>
      <w:r w:rsidR="000275E2" w:rsidRPr="00F139B4">
        <w:rPr>
          <w:sz w:val="18"/>
          <w:szCs w:val="18"/>
        </w:rPr>
        <w:t xml:space="preserve"> Área libre comprende todos los huertos comerciales de vid ubicados entre las regiones de Atacama y Aysén, ambas incluidas, que se encuentran fuera de los anillos de radios 3 km en cuyo centro existe un brote activo de la plaga (área reglamentada). La estrategia </w:t>
      </w:r>
      <w:r w:rsidR="007E00FA" w:rsidRPr="00F139B4">
        <w:rPr>
          <w:sz w:val="18"/>
          <w:szCs w:val="18"/>
        </w:rPr>
        <w:t>20</w:t>
      </w:r>
      <w:r w:rsidR="00383212" w:rsidRPr="00F139B4">
        <w:rPr>
          <w:sz w:val="18"/>
          <w:szCs w:val="18"/>
        </w:rPr>
        <w:t>19</w:t>
      </w:r>
      <w:r w:rsidR="007E00FA" w:rsidRPr="00F139B4">
        <w:rPr>
          <w:sz w:val="18"/>
          <w:szCs w:val="18"/>
        </w:rPr>
        <w:t>-20</w:t>
      </w:r>
      <w:r w:rsidR="00383212" w:rsidRPr="00F139B4">
        <w:rPr>
          <w:sz w:val="18"/>
          <w:szCs w:val="18"/>
        </w:rPr>
        <w:t>20</w:t>
      </w:r>
      <w:r w:rsidR="007E00FA" w:rsidRPr="00F139B4">
        <w:rPr>
          <w:sz w:val="18"/>
          <w:szCs w:val="18"/>
        </w:rPr>
        <w:t xml:space="preserve"> </w:t>
      </w:r>
      <w:r w:rsidR="000275E2" w:rsidRPr="00F139B4">
        <w:rPr>
          <w:sz w:val="18"/>
          <w:szCs w:val="18"/>
        </w:rPr>
        <w:t>establece la contención, supresión y erradicación de la plaga de los cultivos que registran impacto de la plaga, de acuerdo al siguiente detalle:</w:t>
      </w:r>
    </w:p>
    <w:p w:rsidR="000275E2" w:rsidRPr="00F139B4" w:rsidRDefault="000275E2" w:rsidP="000275E2">
      <w:pPr>
        <w:spacing w:after="0" w:line="240" w:lineRule="auto"/>
        <w:jc w:val="both"/>
        <w:rPr>
          <w:sz w:val="18"/>
          <w:szCs w:val="18"/>
        </w:rPr>
      </w:pPr>
      <w:r w:rsidRPr="00F139B4">
        <w:rPr>
          <w:sz w:val="18"/>
          <w:szCs w:val="18"/>
        </w:rPr>
        <w:t>‐ Estrategia de Supresión y Contención: Regiones Metropolitana, O´Higgins y Maule;</w:t>
      </w:r>
    </w:p>
    <w:p w:rsidR="000275E2" w:rsidRPr="00F139B4" w:rsidRDefault="000275E2" w:rsidP="000275E2">
      <w:pPr>
        <w:spacing w:after="0" w:line="240" w:lineRule="auto"/>
        <w:jc w:val="both"/>
        <w:rPr>
          <w:sz w:val="18"/>
          <w:szCs w:val="18"/>
        </w:rPr>
      </w:pPr>
      <w:r w:rsidRPr="00F139B4">
        <w:rPr>
          <w:sz w:val="18"/>
          <w:szCs w:val="18"/>
        </w:rPr>
        <w:t>‐ Estrategia de Supresión y Erradicación: Regiones de Atacama (Provincia de Copiapó al sur), Coquimbo, Valparaíso, Biobío y Araucanía.</w:t>
      </w:r>
    </w:p>
    <w:p w:rsidR="000275E2" w:rsidRPr="00F139B4" w:rsidRDefault="000275E2" w:rsidP="000275E2">
      <w:pPr>
        <w:spacing w:after="0" w:line="240" w:lineRule="auto"/>
        <w:jc w:val="both"/>
        <w:rPr>
          <w:sz w:val="18"/>
          <w:szCs w:val="18"/>
        </w:rPr>
      </w:pPr>
    </w:p>
    <w:p w:rsidR="000275E2" w:rsidRPr="00F139B4" w:rsidRDefault="008A7822" w:rsidP="000275E2">
      <w:pPr>
        <w:spacing w:after="0" w:line="240" w:lineRule="auto"/>
        <w:jc w:val="both"/>
        <w:rPr>
          <w:sz w:val="18"/>
          <w:szCs w:val="18"/>
        </w:rPr>
      </w:pPr>
      <w:r w:rsidRPr="00F139B4">
        <w:rPr>
          <w:sz w:val="18"/>
          <w:szCs w:val="18"/>
        </w:rPr>
        <w:t>5</w:t>
      </w:r>
      <w:r w:rsidR="000275E2" w:rsidRPr="00F139B4">
        <w:rPr>
          <w:sz w:val="18"/>
          <w:szCs w:val="18"/>
        </w:rPr>
        <w:t>.</w:t>
      </w:r>
      <w:r w:rsidRPr="00F139B4">
        <w:rPr>
          <w:sz w:val="18"/>
          <w:szCs w:val="18"/>
        </w:rPr>
        <w:t>-</w:t>
      </w:r>
      <w:r w:rsidR="000275E2" w:rsidRPr="00F139B4">
        <w:rPr>
          <w:sz w:val="18"/>
          <w:szCs w:val="18"/>
        </w:rPr>
        <w:t xml:space="preserve"> Este indicador aplica a las siguientes regiones de la </w:t>
      </w:r>
      <w:r w:rsidR="00CF35B7" w:rsidRPr="00F139B4">
        <w:rPr>
          <w:sz w:val="18"/>
          <w:szCs w:val="18"/>
        </w:rPr>
        <w:t>Macro zona</w:t>
      </w:r>
      <w:r w:rsidR="000275E2" w:rsidRPr="00F139B4">
        <w:rPr>
          <w:sz w:val="18"/>
          <w:szCs w:val="18"/>
        </w:rPr>
        <w:t xml:space="preserve"> norte: Arica y Parinacota, Tarapacá, Antofagasta, Atacama y Coquimbo.</w:t>
      </w:r>
    </w:p>
    <w:p w:rsidR="000275E2" w:rsidRPr="00F139B4" w:rsidRDefault="000275E2" w:rsidP="000275E2">
      <w:pPr>
        <w:spacing w:after="0" w:line="240" w:lineRule="auto"/>
        <w:jc w:val="both"/>
        <w:rPr>
          <w:sz w:val="18"/>
          <w:szCs w:val="18"/>
        </w:rPr>
      </w:pPr>
    </w:p>
    <w:p w:rsidR="003C79C6" w:rsidRPr="00F139B4" w:rsidRDefault="008A7822" w:rsidP="003C79C6">
      <w:pPr>
        <w:spacing w:after="0" w:line="240" w:lineRule="auto"/>
        <w:jc w:val="both"/>
        <w:rPr>
          <w:sz w:val="18"/>
          <w:szCs w:val="18"/>
        </w:rPr>
      </w:pPr>
      <w:r w:rsidRPr="00F139B4">
        <w:rPr>
          <w:sz w:val="18"/>
          <w:szCs w:val="18"/>
        </w:rPr>
        <w:t>6</w:t>
      </w:r>
      <w:r w:rsidR="000275E2" w:rsidRPr="00F139B4">
        <w:rPr>
          <w:sz w:val="18"/>
          <w:szCs w:val="18"/>
        </w:rPr>
        <w:t>.</w:t>
      </w:r>
      <w:r w:rsidRPr="00F139B4">
        <w:rPr>
          <w:sz w:val="18"/>
          <w:szCs w:val="18"/>
        </w:rPr>
        <w:t>-</w:t>
      </w:r>
      <w:r w:rsidR="000275E2" w:rsidRPr="00F139B4">
        <w:rPr>
          <w:sz w:val="18"/>
          <w:szCs w:val="18"/>
        </w:rPr>
        <w:t xml:space="preserve"> </w:t>
      </w:r>
      <w:r w:rsidR="003C79C6" w:rsidRPr="00F139B4">
        <w:rPr>
          <w:sz w:val="18"/>
          <w:szCs w:val="18"/>
        </w:rPr>
        <w:t xml:space="preserve"> Los conceptos utilizados y su definición para calcular el indicador son:        </w:t>
      </w:r>
    </w:p>
    <w:p w:rsidR="003C79C6" w:rsidRPr="00F139B4" w:rsidRDefault="003C79C6" w:rsidP="003C79C6">
      <w:pPr>
        <w:spacing w:after="0" w:line="240" w:lineRule="auto"/>
        <w:jc w:val="both"/>
        <w:rPr>
          <w:sz w:val="18"/>
          <w:szCs w:val="18"/>
        </w:rPr>
      </w:pPr>
      <w:r w:rsidRPr="00F139B4">
        <w:rPr>
          <w:sz w:val="18"/>
          <w:szCs w:val="18"/>
        </w:rPr>
        <w:t xml:space="preserve">        - Evento: son los brotes y las capturas simples confirmadas por el Laboratorio Oficial.        </w:t>
      </w:r>
    </w:p>
    <w:p w:rsidR="003C79C6" w:rsidRPr="00F139B4" w:rsidRDefault="003C79C6" w:rsidP="003C79C6">
      <w:pPr>
        <w:spacing w:after="0" w:line="240" w:lineRule="auto"/>
        <w:jc w:val="both"/>
        <w:rPr>
          <w:sz w:val="18"/>
          <w:szCs w:val="18"/>
        </w:rPr>
      </w:pPr>
      <w:r w:rsidRPr="00F139B4">
        <w:rPr>
          <w:sz w:val="18"/>
          <w:szCs w:val="18"/>
        </w:rPr>
        <w:lastRenderedPageBreak/>
        <w:t xml:space="preserve">        - Brote confirmado: captura de más de un ejemplar de una población aislada de una plaga detectada recientemente y la cual se espera sobreviva en el futuro inmediato y cuya identificación ha sido confirmada por el Laboratorio Oficial.        </w:t>
      </w:r>
    </w:p>
    <w:p w:rsidR="003C79C6" w:rsidRPr="00F139B4" w:rsidRDefault="003C79C6" w:rsidP="003C79C6">
      <w:pPr>
        <w:spacing w:after="0" w:line="240" w:lineRule="auto"/>
        <w:jc w:val="both"/>
        <w:rPr>
          <w:sz w:val="18"/>
          <w:szCs w:val="18"/>
        </w:rPr>
      </w:pPr>
      <w:r w:rsidRPr="00F139B4">
        <w:rPr>
          <w:sz w:val="18"/>
          <w:szCs w:val="18"/>
        </w:rPr>
        <w:t xml:space="preserve">        - Captura </w:t>
      </w:r>
      <w:r w:rsidR="00CF35B7" w:rsidRPr="00F139B4">
        <w:rPr>
          <w:sz w:val="18"/>
          <w:szCs w:val="18"/>
        </w:rPr>
        <w:t>simple:</w:t>
      </w:r>
      <w:r w:rsidRPr="00F139B4">
        <w:rPr>
          <w:sz w:val="18"/>
          <w:szCs w:val="18"/>
        </w:rPr>
        <w:t xml:space="preserve"> captura de sólo un ejemplar macho o una hembra no inseminada.        </w:t>
      </w:r>
    </w:p>
    <w:p w:rsidR="003C79C6" w:rsidRPr="00F139B4" w:rsidRDefault="003C79C6" w:rsidP="003C79C6">
      <w:pPr>
        <w:spacing w:after="0" w:line="240" w:lineRule="auto"/>
        <w:jc w:val="both"/>
        <w:rPr>
          <w:sz w:val="18"/>
          <w:szCs w:val="18"/>
        </w:rPr>
      </w:pPr>
      <w:r w:rsidRPr="00F139B4">
        <w:rPr>
          <w:sz w:val="18"/>
          <w:szCs w:val="18"/>
        </w:rPr>
        <w:t xml:space="preserve">        - Brote confirmado erradicado: cuando el nivel poblacional del insecto es reducido a cero. Como "Declaración Oficial de la Erradicación", se entenderá cuando se acumulen tres ciclos de vida teóricos de desarrollo del insecto, definidos mediante días grados sin capturas de Mosca de la Fruta (Ceratitis capitata).        </w:t>
      </w:r>
    </w:p>
    <w:p w:rsidR="003C79C6" w:rsidRPr="00F139B4" w:rsidRDefault="003C79C6" w:rsidP="003C79C6">
      <w:pPr>
        <w:spacing w:after="0" w:line="240" w:lineRule="auto"/>
        <w:jc w:val="both"/>
        <w:rPr>
          <w:sz w:val="18"/>
          <w:szCs w:val="18"/>
        </w:rPr>
      </w:pPr>
      <w:r w:rsidRPr="00F139B4">
        <w:rPr>
          <w:sz w:val="18"/>
          <w:szCs w:val="18"/>
        </w:rPr>
        <w:t xml:space="preserve">        - Captura simple eliminada: se considera cuando finalicen oficialmente las actividades de vigilancia generadas por la captura simple, que equivalen a dos ciclos vitales teóricos de desarrollo del insecto.        </w:t>
      </w:r>
    </w:p>
    <w:p w:rsidR="003C79C6" w:rsidRPr="00F139B4" w:rsidRDefault="003C79C6" w:rsidP="003C79C6">
      <w:pPr>
        <w:spacing w:after="0" w:line="240" w:lineRule="auto"/>
        <w:jc w:val="both"/>
        <w:rPr>
          <w:sz w:val="18"/>
          <w:szCs w:val="18"/>
        </w:rPr>
      </w:pPr>
      <w:r w:rsidRPr="00F139B4">
        <w:rPr>
          <w:sz w:val="18"/>
          <w:szCs w:val="18"/>
        </w:rPr>
        <w:t xml:space="preserve">        - Período de Pre-oviposición: días que transcurren desde la emergencia del insecto como adulto desde la pupa, hasta el momento en que realiza la primera postura de huevos. Se entenderá por Mosca de la Fruta a la especie Ceratitis capitata (Wied).        </w:t>
      </w:r>
    </w:p>
    <w:p w:rsidR="003C79C6" w:rsidRPr="00F139B4" w:rsidRDefault="003C79C6" w:rsidP="003C79C6">
      <w:pPr>
        <w:spacing w:after="0" w:line="240" w:lineRule="auto"/>
        <w:jc w:val="both"/>
        <w:rPr>
          <w:sz w:val="18"/>
          <w:szCs w:val="18"/>
        </w:rPr>
      </w:pPr>
      <w:r w:rsidRPr="00F139B4">
        <w:rPr>
          <w:sz w:val="18"/>
          <w:szCs w:val="18"/>
        </w:rPr>
        <w:t xml:space="preserve">        Se contabilizarán los Brotes y las Capturas simples detectadas entre el 01 de enero y el 31 de marzo del año t y entre 01 de abril y 31 de diciembre del año t-1, cuya última captura o detección de estado inmaduro haya ocurrido antes del 31 de marzo del año t. Eventos detectados entre el 01 de abril y 31 de diciembre del año t y eventos con fecha de última captura posterior al 31 de marzo del año t serán </w:t>
      </w:r>
      <w:r w:rsidR="00CF35B7" w:rsidRPr="00F139B4">
        <w:rPr>
          <w:sz w:val="18"/>
          <w:szCs w:val="18"/>
        </w:rPr>
        <w:t>contabilizados</w:t>
      </w:r>
      <w:r w:rsidRPr="00F139B4">
        <w:rPr>
          <w:sz w:val="18"/>
          <w:szCs w:val="18"/>
        </w:rPr>
        <w:t xml:space="preserve"> al año t+1, excepto que, por razones climatológicas (por una primavera o verano adelantado) logre acumular 325,2 días grados en el mismo año, sumado a los días de pre-oviposición (5, 10 o 15 días), entonces se ingresará este brote en el año t y no pasará al año siguiente.</w:t>
      </w:r>
    </w:p>
    <w:p w:rsidR="000E69D4" w:rsidRPr="00F139B4" w:rsidRDefault="000E69D4" w:rsidP="000275E2">
      <w:pPr>
        <w:spacing w:after="0" w:line="240" w:lineRule="auto"/>
        <w:jc w:val="both"/>
        <w:rPr>
          <w:sz w:val="18"/>
          <w:szCs w:val="18"/>
        </w:rPr>
      </w:pPr>
    </w:p>
    <w:p w:rsidR="005B4399" w:rsidRPr="00F139B4" w:rsidRDefault="008A7822" w:rsidP="005B4399">
      <w:pPr>
        <w:spacing w:after="0" w:line="240" w:lineRule="auto"/>
        <w:jc w:val="both"/>
        <w:rPr>
          <w:sz w:val="18"/>
          <w:szCs w:val="18"/>
        </w:rPr>
      </w:pPr>
      <w:r w:rsidRPr="00F139B4">
        <w:rPr>
          <w:sz w:val="18"/>
          <w:szCs w:val="18"/>
        </w:rPr>
        <w:t>7</w:t>
      </w:r>
      <w:r w:rsidR="000275E2" w:rsidRPr="00F139B4">
        <w:rPr>
          <w:sz w:val="18"/>
          <w:szCs w:val="18"/>
        </w:rPr>
        <w:t>.</w:t>
      </w:r>
      <w:r w:rsidRPr="00F139B4">
        <w:rPr>
          <w:sz w:val="18"/>
          <w:szCs w:val="18"/>
        </w:rPr>
        <w:t>-</w:t>
      </w:r>
      <w:r w:rsidR="005B4399" w:rsidRPr="00F139B4">
        <w:t xml:space="preserve"> </w:t>
      </w:r>
      <w:r w:rsidR="005B4399" w:rsidRPr="00F139B4">
        <w:rPr>
          <w:sz w:val="18"/>
          <w:szCs w:val="18"/>
        </w:rPr>
        <w:t xml:space="preserve">Se desagregan, las fiscalizaciones estimadas a realizar en 2020 por normativa.        </w:t>
      </w:r>
    </w:p>
    <w:p w:rsidR="005B4399" w:rsidRPr="00F139B4" w:rsidRDefault="005B4399" w:rsidP="005B4399">
      <w:pPr>
        <w:spacing w:after="0" w:line="240" w:lineRule="auto"/>
        <w:jc w:val="both"/>
        <w:rPr>
          <w:sz w:val="18"/>
          <w:szCs w:val="18"/>
        </w:rPr>
      </w:pPr>
      <w:r w:rsidRPr="00F139B4">
        <w:rPr>
          <w:sz w:val="18"/>
          <w:szCs w:val="18"/>
        </w:rPr>
        <w:t xml:space="preserve">        1. Sistema nacional de certificación de productos orgánicos agrícolas.</w:t>
      </w:r>
    </w:p>
    <w:p w:rsidR="005B4399" w:rsidRPr="00F139B4" w:rsidRDefault="005B4399" w:rsidP="005B4399">
      <w:pPr>
        <w:spacing w:after="0" w:line="240" w:lineRule="auto"/>
        <w:jc w:val="both"/>
        <w:rPr>
          <w:sz w:val="18"/>
          <w:szCs w:val="18"/>
        </w:rPr>
      </w:pPr>
      <w:r w:rsidRPr="00F139B4">
        <w:rPr>
          <w:sz w:val="18"/>
          <w:szCs w:val="18"/>
        </w:rPr>
        <w:t xml:space="preserve">        2. Tenedores de fauna silvestre. </w:t>
      </w:r>
    </w:p>
    <w:p w:rsidR="005B4399" w:rsidRPr="00F139B4" w:rsidRDefault="005B4399" w:rsidP="005B4399">
      <w:pPr>
        <w:spacing w:after="0" w:line="240" w:lineRule="auto"/>
        <w:jc w:val="both"/>
        <w:rPr>
          <w:sz w:val="18"/>
          <w:szCs w:val="18"/>
        </w:rPr>
      </w:pPr>
      <w:r w:rsidRPr="00F139B4">
        <w:rPr>
          <w:sz w:val="18"/>
          <w:szCs w:val="18"/>
        </w:rPr>
        <w:t xml:space="preserve">        3. Comerciantes de semillas y viveros de plantas.</w:t>
      </w:r>
    </w:p>
    <w:p w:rsidR="005B4399" w:rsidRPr="00F139B4" w:rsidRDefault="005B4399" w:rsidP="005B4399">
      <w:pPr>
        <w:spacing w:after="0" w:line="240" w:lineRule="auto"/>
        <w:jc w:val="both"/>
        <w:rPr>
          <w:sz w:val="18"/>
          <w:szCs w:val="18"/>
        </w:rPr>
      </w:pPr>
      <w:r w:rsidRPr="00F139B4">
        <w:rPr>
          <w:sz w:val="18"/>
          <w:szCs w:val="18"/>
        </w:rPr>
        <w:t xml:space="preserve">        4. Uso y aplicación de plaguicidas.   </w:t>
      </w:r>
    </w:p>
    <w:p w:rsidR="005B4399" w:rsidRPr="00F139B4" w:rsidRDefault="005B4399" w:rsidP="005B4399">
      <w:pPr>
        <w:spacing w:after="0" w:line="240" w:lineRule="auto"/>
        <w:jc w:val="both"/>
        <w:rPr>
          <w:sz w:val="18"/>
          <w:szCs w:val="18"/>
        </w:rPr>
      </w:pPr>
      <w:r w:rsidRPr="00F139B4">
        <w:rPr>
          <w:sz w:val="18"/>
          <w:szCs w:val="18"/>
        </w:rPr>
        <w:t xml:space="preserve">        5. Comercio de plaguicidas y fertilizantes.      </w:t>
      </w:r>
    </w:p>
    <w:p w:rsidR="005B4399" w:rsidRPr="00F139B4" w:rsidRDefault="005B4399" w:rsidP="005B4399">
      <w:pPr>
        <w:spacing w:after="0" w:line="240" w:lineRule="auto"/>
        <w:jc w:val="both"/>
        <w:rPr>
          <w:sz w:val="18"/>
          <w:szCs w:val="18"/>
        </w:rPr>
      </w:pPr>
      <w:r w:rsidRPr="00F139B4">
        <w:rPr>
          <w:sz w:val="18"/>
          <w:szCs w:val="18"/>
        </w:rPr>
        <w:t xml:space="preserve">        6. Viveros - Ley de Protección Agrícola.     </w:t>
      </w:r>
    </w:p>
    <w:p w:rsidR="005B4399" w:rsidRPr="00F139B4" w:rsidRDefault="005B4399" w:rsidP="005B4399">
      <w:pPr>
        <w:spacing w:after="0" w:line="240" w:lineRule="auto"/>
        <w:jc w:val="both"/>
        <w:rPr>
          <w:sz w:val="18"/>
          <w:szCs w:val="18"/>
        </w:rPr>
      </w:pPr>
      <w:r w:rsidRPr="00F139B4">
        <w:rPr>
          <w:sz w:val="18"/>
          <w:szCs w:val="18"/>
        </w:rPr>
        <w:t xml:space="preserve">        7. Depósitos de plantas - Ley de Protección Agrícola.     </w:t>
      </w:r>
    </w:p>
    <w:p w:rsidR="005B4399" w:rsidRPr="00F139B4" w:rsidRDefault="005B4399" w:rsidP="005B4399">
      <w:pPr>
        <w:spacing w:after="0" w:line="240" w:lineRule="auto"/>
        <w:jc w:val="both"/>
        <w:rPr>
          <w:sz w:val="18"/>
          <w:szCs w:val="18"/>
        </w:rPr>
      </w:pPr>
      <w:r w:rsidRPr="00F139B4">
        <w:rPr>
          <w:sz w:val="18"/>
          <w:szCs w:val="18"/>
        </w:rPr>
        <w:t xml:space="preserve">        8. Productores de bebidas alcohólicas.  </w:t>
      </w:r>
    </w:p>
    <w:p w:rsidR="005B4399" w:rsidRPr="00F139B4" w:rsidRDefault="005B4399" w:rsidP="005B4399">
      <w:pPr>
        <w:spacing w:after="0" w:line="240" w:lineRule="auto"/>
        <w:jc w:val="both"/>
        <w:rPr>
          <w:sz w:val="18"/>
          <w:szCs w:val="18"/>
        </w:rPr>
      </w:pPr>
      <w:r w:rsidRPr="00F139B4">
        <w:rPr>
          <w:sz w:val="18"/>
          <w:szCs w:val="18"/>
        </w:rPr>
        <w:t xml:space="preserve">        9. Distribuidores de bebidas alcohólicas.        </w:t>
      </w:r>
    </w:p>
    <w:p w:rsidR="005B4399" w:rsidRPr="00F139B4" w:rsidRDefault="005B4399" w:rsidP="005B4399">
      <w:pPr>
        <w:spacing w:after="0" w:line="240" w:lineRule="auto"/>
        <w:jc w:val="both"/>
        <w:rPr>
          <w:sz w:val="18"/>
          <w:szCs w:val="18"/>
        </w:rPr>
      </w:pPr>
      <w:r w:rsidRPr="00F139B4">
        <w:rPr>
          <w:sz w:val="18"/>
          <w:szCs w:val="18"/>
        </w:rPr>
        <w:t xml:space="preserve">        10. Otras instancias de bebidas alcohólicas.     </w:t>
      </w:r>
    </w:p>
    <w:p w:rsidR="005B4399" w:rsidRPr="00F139B4" w:rsidRDefault="005B4399" w:rsidP="005B4399">
      <w:pPr>
        <w:spacing w:after="0" w:line="240" w:lineRule="auto"/>
        <w:jc w:val="both"/>
        <w:rPr>
          <w:sz w:val="18"/>
          <w:szCs w:val="18"/>
        </w:rPr>
      </w:pPr>
      <w:r w:rsidRPr="00F139B4">
        <w:rPr>
          <w:sz w:val="18"/>
          <w:szCs w:val="18"/>
        </w:rPr>
        <w:t xml:space="preserve">        11. Ley de carnes.</w:t>
      </w:r>
    </w:p>
    <w:p w:rsidR="005B4399" w:rsidRPr="00F139B4" w:rsidRDefault="005B4399" w:rsidP="005B4399">
      <w:pPr>
        <w:spacing w:after="0" w:line="240" w:lineRule="auto"/>
        <w:jc w:val="both"/>
        <w:rPr>
          <w:sz w:val="18"/>
          <w:szCs w:val="18"/>
        </w:rPr>
      </w:pPr>
      <w:r w:rsidRPr="00F139B4">
        <w:rPr>
          <w:sz w:val="18"/>
          <w:szCs w:val="18"/>
        </w:rPr>
        <w:t xml:space="preserve">        12. Reglamento de productos farmacéuticos de uso exclusivamente veterinario.    </w:t>
      </w:r>
    </w:p>
    <w:p w:rsidR="005B4399" w:rsidRPr="00F139B4" w:rsidRDefault="005B4399" w:rsidP="005B4399">
      <w:pPr>
        <w:spacing w:after="0" w:line="240" w:lineRule="auto"/>
        <w:jc w:val="both"/>
        <w:rPr>
          <w:sz w:val="18"/>
          <w:szCs w:val="18"/>
        </w:rPr>
      </w:pPr>
      <w:r w:rsidRPr="00F139B4">
        <w:rPr>
          <w:sz w:val="18"/>
          <w:szCs w:val="18"/>
        </w:rPr>
        <w:t xml:space="preserve">        13. Reglamento de Alimentos para animales.  </w:t>
      </w:r>
    </w:p>
    <w:p w:rsidR="005B4399" w:rsidRPr="00F139B4" w:rsidRDefault="005B4399" w:rsidP="005B4399">
      <w:pPr>
        <w:spacing w:after="0" w:line="240" w:lineRule="auto"/>
        <w:jc w:val="both"/>
        <w:rPr>
          <w:sz w:val="18"/>
          <w:szCs w:val="18"/>
        </w:rPr>
      </w:pPr>
      <w:r w:rsidRPr="00F139B4">
        <w:rPr>
          <w:sz w:val="18"/>
          <w:szCs w:val="18"/>
        </w:rPr>
        <w:t xml:space="preserve">        14. Material de OGM (Organismo Genéricamente Modificado) fiscalizado.    </w:t>
      </w:r>
    </w:p>
    <w:p w:rsidR="00A73A3C" w:rsidRPr="00F139B4" w:rsidRDefault="000275E2" w:rsidP="005B4399">
      <w:pPr>
        <w:spacing w:after="0" w:line="240" w:lineRule="auto"/>
        <w:jc w:val="both"/>
        <w:rPr>
          <w:sz w:val="18"/>
          <w:szCs w:val="18"/>
        </w:rPr>
      </w:pPr>
      <w:r w:rsidRPr="00F139B4">
        <w:rPr>
          <w:sz w:val="18"/>
          <w:szCs w:val="18"/>
        </w:rPr>
        <w:t xml:space="preserve"> </w:t>
      </w:r>
    </w:p>
    <w:p w:rsidR="00112899" w:rsidRPr="00F139B4" w:rsidRDefault="00A73A3C" w:rsidP="00112899">
      <w:pPr>
        <w:spacing w:after="0" w:line="240" w:lineRule="auto"/>
        <w:jc w:val="both"/>
        <w:rPr>
          <w:sz w:val="18"/>
          <w:szCs w:val="18"/>
        </w:rPr>
      </w:pPr>
      <w:r w:rsidRPr="00F139B4">
        <w:rPr>
          <w:sz w:val="18"/>
          <w:szCs w:val="18"/>
        </w:rPr>
        <w:t xml:space="preserve">8.-  </w:t>
      </w:r>
      <w:r w:rsidR="00112899" w:rsidRPr="00F139B4">
        <w:rPr>
          <w:sz w:val="18"/>
          <w:szCs w:val="18"/>
        </w:rPr>
        <w:t>Los certificados fito y zoosanitarios de exportación reemitidos por causa SAG, corresponden a aquellos certificados detectados tanto en Chile como en el país de destino con faltas por causas atribuibles al SAG y que, por tal razón, deben ser reemitidos. Se acotan las reemisiones que sean consideradas en la medición a aquellos errores que sean solo de fondo y no de forma.</w:t>
      </w:r>
    </w:p>
    <w:p w:rsidR="00112899" w:rsidRPr="00F139B4" w:rsidRDefault="00112899" w:rsidP="00112899">
      <w:pPr>
        <w:spacing w:after="0" w:line="240" w:lineRule="auto"/>
        <w:jc w:val="both"/>
        <w:rPr>
          <w:sz w:val="18"/>
          <w:szCs w:val="18"/>
        </w:rPr>
      </w:pPr>
      <w:r w:rsidRPr="00F139B4">
        <w:rPr>
          <w:sz w:val="18"/>
          <w:szCs w:val="18"/>
        </w:rPr>
        <w:t>Por su parte, los documentos aclaratorios emitidos por causa SAG asociados al proceso de certificación de exportaciones, corresponden a aquellos documentos que son emitidos en caso que no se pida la reemisión de un certificado y que permiten liberar el embarque en destino, tales como carta aclaratoria, adenda, carta rectificatoria, etc.</w:t>
      </w:r>
    </w:p>
    <w:p w:rsidR="00112899" w:rsidRPr="00F139B4" w:rsidRDefault="00112899" w:rsidP="00112899">
      <w:pPr>
        <w:spacing w:after="0" w:line="240" w:lineRule="auto"/>
        <w:jc w:val="both"/>
        <w:rPr>
          <w:sz w:val="18"/>
          <w:szCs w:val="18"/>
        </w:rPr>
      </w:pPr>
      <w:r w:rsidRPr="00F139B4">
        <w:rPr>
          <w:sz w:val="18"/>
          <w:szCs w:val="18"/>
        </w:rPr>
        <w:t>En ambos casos, se consideran como causas atribuibles al SAG:</w:t>
      </w:r>
    </w:p>
    <w:p w:rsidR="00112899" w:rsidRPr="00F139B4" w:rsidRDefault="00112899" w:rsidP="00112899">
      <w:pPr>
        <w:spacing w:after="0" w:line="240" w:lineRule="auto"/>
        <w:jc w:val="both"/>
        <w:rPr>
          <w:sz w:val="18"/>
          <w:szCs w:val="18"/>
        </w:rPr>
      </w:pPr>
      <w:r w:rsidRPr="00F139B4">
        <w:rPr>
          <w:sz w:val="18"/>
          <w:szCs w:val="18"/>
        </w:rPr>
        <w:t>a) Errores de escritura (a excepción de datos erróneos entregados por el privado en solicitud).</w:t>
      </w:r>
    </w:p>
    <w:p w:rsidR="00112899" w:rsidRPr="00F139B4" w:rsidRDefault="00112899" w:rsidP="00112899">
      <w:pPr>
        <w:spacing w:after="0" w:line="240" w:lineRule="auto"/>
        <w:jc w:val="both"/>
        <w:rPr>
          <w:sz w:val="18"/>
          <w:szCs w:val="18"/>
        </w:rPr>
      </w:pPr>
      <w:r w:rsidRPr="00F139B4">
        <w:rPr>
          <w:sz w:val="18"/>
          <w:szCs w:val="18"/>
        </w:rPr>
        <w:lastRenderedPageBreak/>
        <w:t>b) Certificado Fitosanitario o Zoosanitario de Exportación o sus anexos incompletos.</w:t>
      </w:r>
    </w:p>
    <w:p w:rsidR="00112899" w:rsidRPr="00F139B4" w:rsidRDefault="00112899" w:rsidP="00112899">
      <w:pPr>
        <w:spacing w:after="0" w:line="240" w:lineRule="auto"/>
        <w:jc w:val="both"/>
        <w:rPr>
          <w:sz w:val="18"/>
          <w:szCs w:val="18"/>
        </w:rPr>
      </w:pPr>
      <w:r w:rsidRPr="00F139B4">
        <w:rPr>
          <w:sz w:val="18"/>
          <w:szCs w:val="18"/>
        </w:rPr>
        <w:t>c) Formato inadecuado del Certificado Zoosanitario de Exportación (Ej. idioma o producto distinto).</w:t>
      </w:r>
    </w:p>
    <w:p w:rsidR="00112899" w:rsidRPr="00F139B4" w:rsidRDefault="00112899" w:rsidP="00112899">
      <w:pPr>
        <w:spacing w:after="0" w:line="240" w:lineRule="auto"/>
        <w:jc w:val="both"/>
        <w:rPr>
          <w:sz w:val="18"/>
          <w:szCs w:val="18"/>
        </w:rPr>
      </w:pPr>
      <w:r w:rsidRPr="00F139B4">
        <w:rPr>
          <w:sz w:val="18"/>
          <w:szCs w:val="18"/>
        </w:rPr>
        <w:t>d) Incumplimiento del producto o la partida en cuanto a requisitos sanitarios a certificar.</w:t>
      </w:r>
    </w:p>
    <w:p w:rsidR="000275E2" w:rsidRPr="00F139B4" w:rsidRDefault="000275E2" w:rsidP="000275E2">
      <w:pPr>
        <w:spacing w:after="0" w:line="240" w:lineRule="auto"/>
        <w:jc w:val="both"/>
        <w:rPr>
          <w:sz w:val="18"/>
          <w:szCs w:val="18"/>
        </w:rPr>
      </w:pPr>
    </w:p>
    <w:p w:rsidR="000275E2" w:rsidRPr="00F139B4" w:rsidRDefault="00A73A3C" w:rsidP="000275E2">
      <w:pPr>
        <w:spacing w:after="0" w:line="240" w:lineRule="auto"/>
        <w:jc w:val="both"/>
        <w:rPr>
          <w:sz w:val="18"/>
          <w:szCs w:val="18"/>
        </w:rPr>
      </w:pPr>
      <w:r w:rsidRPr="00F139B4">
        <w:rPr>
          <w:sz w:val="18"/>
          <w:szCs w:val="18"/>
        </w:rPr>
        <w:t>9</w:t>
      </w:r>
      <w:r w:rsidR="000275E2" w:rsidRPr="00F139B4">
        <w:rPr>
          <w:sz w:val="18"/>
          <w:szCs w:val="18"/>
        </w:rPr>
        <w:t>.</w:t>
      </w:r>
      <w:r w:rsidR="008A7822" w:rsidRPr="00F139B4">
        <w:rPr>
          <w:sz w:val="18"/>
          <w:szCs w:val="18"/>
        </w:rPr>
        <w:t>-</w:t>
      </w:r>
      <w:r w:rsidR="00691C83">
        <w:rPr>
          <w:sz w:val="18"/>
          <w:szCs w:val="18"/>
        </w:rPr>
        <w:t xml:space="preserve"> Hay 9</w:t>
      </w:r>
      <w:r w:rsidR="000275E2" w:rsidRPr="00F139B4">
        <w:rPr>
          <w:sz w:val="18"/>
          <w:szCs w:val="18"/>
        </w:rPr>
        <w:t xml:space="preserve"> procesos o canales de atención con medición de la satisfacción de clientes: Certificación de productos pecuarios para la exportación; Certificación fitosanitaria para la exportación de productos agrícolas y forestales; Certificación varietal de semillas para la exportación; Registro de productos farmacéuticos de uso exclusivamente veterinario; Autorización de Plaguicidas;  Registro de Variedades Protegidas; Sistema de Incentivos para la Recuperación de Suelos Degradados;  Sistema integrado de atención ciudadana (Atención presencial); y Sistema integrad</w:t>
      </w:r>
      <w:bookmarkStart w:id="0" w:name="_GoBack"/>
      <w:bookmarkEnd w:id="0"/>
      <w:r w:rsidR="000275E2" w:rsidRPr="00F139B4">
        <w:rPr>
          <w:sz w:val="18"/>
          <w:szCs w:val="18"/>
        </w:rPr>
        <w:t xml:space="preserve">o de atención ciudadana (Call center). </w:t>
      </w:r>
    </w:p>
    <w:p w:rsidR="000275E2" w:rsidRPr="00F139B4" w:rsidRDefault="000275E2" w:rsidP="000275E2">
      <w:pPr>
        <w:spacing w:after="0" w:line="240" w:lineRule="auto"/>
        <w:jc w:val="both"/>
        <w:rPr>
          <w:sz w:val="18"/>
          <w:szCs w:val="18"/>
        </w:rPr>
      </w:pPr>
    </w:p>
    <w:p w:rsidR="00A73A3C" w:rsidRPr="00F139B4" w:rsidRDefault="00A73A3C" w:rsidP="00A73A3C">
      <w:pPr>
        <w:spacing w:after="0" w:line="240" w:lineRule="auto"/>
        <w:jc w:val="both"/>
        <w:rPr>
          <w:sz w:val="18"/>
          <w:szCs w:val="18"/>
        </w:rPr>
      </w:pPr>
      <w:r w:rsidRPr="00F139B4">
        <w:rPr>
          <w:sz w:val="18"/>
          <w:szCs w:val="18"/>
        </w:rPr>
        <w:t>10</w:t>
      </w:r>
      <w:r w:rsidR="000275E2" w:rsidRPr="00F139B4">
        <w:rPr>
          <w:sz w:val="18"/>
          <w:szCs w:val="18"/>
        </w:rPr>
        <w:t>.</w:t>
      </w:r>
      <w:r w:rsidR="008A7822" w:rsidRPr="00F139B4">
        <w:rPr>
          <w:sz w:val="18"/>
          <w:szCs w:val="18"/>
        </w:rPr>
        <w:t>-</w:t>
      </w:r>
      <w:r w:rsidR="000275E2" w:rsidRPr="00F139B4">
        <w:rPr>
          <w:sz w:val="18"/>
          <w:szCs w:val="18"/>
        </w:rPr>
        <w:t xml:space="preserve"> </w:t>
      </w:r>
      <w:r w:rsidRPr="00F139B4">
        <w:rPr>
          <w:sz w:val="18"/>
          <w:szCs w:val="18"/>
        </w:rPr>
        <w:t>Este indicador comprende los siguientes sub indicadores:</w:t>
      </w:r>
    </w:p>
    <w:p w:rsidR="00A73A3C" w:rsidRPr="00F139B4" w:rsidRDefault="00A73A3C" w:rsidP="00A73A3C">
      <w:pPr>
        <w:spacing w:after="0" w:line="240" w:lineRule="auto"/>
        <w:jc w:val="both"/>
        <w:rPr>
          <w:sz w:val="18"/>
          <w:szCs w:val="18"/>
        </w:rPr>
      </w:pPr>
      <w:r w:rsidRPr="00F139B4">
        <w:rPr>
          <w:sz w:val="18"/>
          <w:szCs w:val="18"/>
        </w:rPr>
        <w:t>Numerador: Número total de solicitudes de autorización, renovación o modificación de plaguicidas en proceso, que a la fecha de la medición están dentro del plazo.</w:t>
      </w:r>
    </w:p>
    <w:p w:rsidR="00D95CE9" w:rsidRPr="00F139B4" w:rsidRDefault="00A73A3C" w:rsidP="00A73A3C">
      <w:pPr>
        <w:spacing w:after="0" w:line="240" w:lineRule="auto"/>
        <w:jc w:val="both"/>
        <w:rPr>
          <w:sz w:val="18"/>
          <w:szCs w:val="18"/>
        </w:rPr>
      </w:pPr>
      <w:r w:rsidRPr="00F139B4">
        <w:rPr>
          <w:sz w:val="18"/>
          <w:szCs w:val="18"/>
        </w:rPr>
        <w:t>Denominador: Número total de solicitudes de autorización, renovación o modificación de plaguicidas en proceso a la fecha de la medición.</w:t>
      </w:r>
    </w:p>
    <w:p w:rsidR="000275E2" w:rsidRPr="00F139B4" w:rsidRDefault="000275E2" w:rsidP="000275E2">
      <w:pPr>
        <w:spacing w:after="0" w:line="240" w:lineRule="auto"/>
        <w:jc w:val="both"/>
        <w:rPr>
          <w:sz w:val="18"/>
          <w:szCs w:val="18"/>
        </w:rPr>
      </w:pPr>
    </w:p>
    <w:p w:rsidR="003B4F0F" w:rsidRPr="00F139B4" w:rsidRDefault="003B4F0F" w:rsidP="000275E2">
      <w:pPr>
        <w:spacing w:after="0" w:line="240" w:lineRule="auto"/>
        <w:jc w:val="both"/>
        <w:rPr>
          <w:sz w:val="18"/>
          <w:szCs w:val="18"/>
        </w:rPr>
      </w:pPr>
    </w:p>
    <w:p w:rsidR="003B4F0F" w:rsidRPr="00F139B4" w:rsidRDefault="003B4F0F" w:rsidP="000275E2">
      <w:pPr>
        <w:spacing w:after="0" w:line="240" w:lineRule="auto"/>
        <w:jc w:val="both"/>
        <w:rPr>
          <w:sz w:val="18"/>
          <w:szCs w:val="18"/>
        </w:rPr>
      </w:pPr>
    </w:p>
    <w:p w:rsidR="003B4F0F" w:rsidRPr="00F139B4" w:rsidRDefault="003B4F0F" w:rsidP="000275E2">
      <w:pPr>
        <w:spacing w:after="0" w:line="240" w:lineRule="auto"/>
        <w:jc w:val="both"/>
        <w:rPr>
          <w:sz w:val="18"/>
          <w:szCs w:val="18"/>
        </w:rPr>
      </w:pPr>
    </w:p>
    <w:p w:rsidR="0053579B" w:rsidRPr="00F139B4" w:rsidRDefault="0053579B" w:rsidP="000275E2">
      <w:pPr>
        <w:spacing w:after="0" w:line="240" w:lineRule="auto"/>
        <w:jc w:val="both"/>
        <w:rPr>
          <w:sz w:val="18"/>
          <w:szCs w:val="18"/>
        </w:rPr>
      </w:pPr>
    </w:p>
    <w:sectPr w:rsidR="0053579B" w:rsidRPr="00F139B4" w:rsidSect="00D46120">
      <w:headerReference w:type="default" r:id="rId7"/>
      <w:type w:val="continuous"/>
      <w:pgSz w:w="15840" w:h="12240" w:orient="landscape" w:code="1"/>
      <w:pgMar w:top="1701" w:right="1418" w:bottom="1701"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9E" w:rsidRDefault="0036769E" w:rsidP="00E47A3F">
      <w:pPr>
        <w:spacing w:after="0" w:line="240" w:lineRule="auto"/>
      </w:pPr>
      <w:r>
        <w:separator/>
      </w:r>
    </w:p>
  </w:endnote>
  <w:endnote w:type="continuationSeparator" w:id="0">
    <w:p w:rsidR="0036769E" w:rsidRDefault="0036769E" w:rsidP="00E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9E" w:rsidRDefault="0036769E" w:rsidP="00E47A3F">
      <w:pPr>
        <w:spacing w:after="0" w:line="240" w:lineRule="auto"/>
      </w:pPr>
      <w:r>
        <w:separator/>
      </w:r>
    </w:p>
  </w:footnote>
  <w:footnote w:type="continuationSeparator" w:id="0">
    <w:p w:rsidR="0036769E" w:rsidRDefault="0036769E" w:rsidP="00E47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20" w:rsidRPr="003D29AA" w:rsidRDefault="006F4E24">
    <w:pPr>
      <w:pStyle w:val="Encabezado"/>
      <w:rPr>
        <w:b/>
        <w:color w:val="FF0000"/>
        <w:sz w:val="24"/>
        <w:szCs w:val="24"/>
      </w:rPr>
    </w:pPr>
    <w:r w:rsidRPr="0095353E">
      <w:rPr>
        <w:rFonts w:ascii="Times New Roman" w:eastAsia="Times New Roman" w:hAnsi="Times New Roman" w:cs="Times New Roman"/>
        <w:noProof/>
        <w:color w:val="000000"/>
        <w:sz w:val="20"/>
        <w:szCs w:val="20"/>
        <w:lang w:eastAsia="es-CL"/>
      </w:rPr>
      <w:drawing>
        <wp:inline distT="0" distB="0" distL="0" distR="0" wp14:anchorId="43367E04" wp14:editId="1C8D45BC">
          <wp:extent cx="885825" cy="790575"/>
          <wp:effectExtent l="0" t="0" r="9525" b="9525"/>
          <wp:docPr id="7" name="Imagen 7" descr="Descripción: SAG_logocolor_pequen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SAG_logocolor_pequen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r>
      <w:ptab w:relativeTo="margin" w:alignment="center" w:leader="none"/>
    </w:r>
    <w:r w:rsidRPr="000275E2">
      <w:rPr>
        <w:b/>
        <w:sz w:val="24"/>
        <w:szCs w:val="24"/>
      </w:rPr>
      <w:t xml:space="preserve">PLAN INSTITUCIONAL </w:t>
    </w:r>
    <w:r w:rsidR="00B0209D">
      <w:rPr>
        <w:b/>
        <w:sz w:val="24"/>
        <w:szCs w:val="24"/>
      </w:rPr>
      <w:t>ANUAL</w:t>
    </w:r>
    <w:r w:rsidR="00B0209D" w:rsidRPr="001A6118">
      <w:rPr>
        <w:b/>
        <w:sz w:val="24"/>
        <w:szCs w:val="24"/>
      </w:rPr>
      <w:t xml:space="preserve"> </w:t>
    </w:r>
    <w:r w:rsidR="00E65082" w:rsidRPr="001A6118">
      <w:rPr>
        <w:b/>
        <w:sz w:val="24"/>
        <w:szCs w:val="24"/>
      </w:rPr>
      <w:t>2020</w:t>
    </w:r>
    <w:r w:rsidRPr="001A6118">
      <w:rPr>
        <w:b/>
        <w:sz w:val="24"/>
        <w:szCs w:val="24"/>
      </w:rPr>
      <w:t xml:space="preserve"> </w:t>
    </w:r>
  </w:p>
  <w:p w:rsidR="00E47A3F" w:rsidRDefault="00D46120">
    <w:pPr>
      <w:pStyle w:val="Encabezado"/>
    </w:pPr>
    <w:r>
      <w:rPr>
        <w:b/>
        <w:sz w:val="24"/>
        <w:szCs w:val="24"/>
      </w:rPr>
      <w:tab/>
      <w:t xml:space="preserve">                                                                             </w:t>
    </w:r>
    <w:r w:rsidR="006F4E24" w:rsidRPr="00A340FA">
      <w:rPr>
        <w:b/>
        <w:sz w:val="24"/>
        <w:szCs w:val="24"/>
      </w:rPr>
      <w:t xml:space="preserve">SERVICIO </w:t>
    </w:r>
    <w:r w:rsidR="006F4E24" w:rsidRPr="000275E2">
      <w:rPr>
        <w:b/>
        <w:sz w:val="24"/>
        <w:szCs w:val="24"/>
      </w:rPr>
      <w:t>AGRÍCOLA Y GANADERO</w:t>
    </w:r>
    <w:r w:rsidR="006F4E24">
      <w:rPr>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C7"/>
    <w:rsid w:val="00002DA4"/>
    <w:rsid w:val="00010234"/>
    <w:rsid w:val="000275E2"/>
    <w:rsid w:val="00043E3B"/>
    <w:rsid w:val="00055F8E"/>
    <w:rsid w:val="000823C7"/>
    <w:rsid w:val="00095CCE"/>
    <w:rsid w:val="000E1093"/>
    <w:rsid w:val="000E69D4"/>
    <w:rsid w:val="00112889"/>
    <w:rsid w:val="00112899"/>
    <w:rsid w:val="001340A4"/>
    <w:rsid w:val="00142D58"/>
    <w:rsid w:val="00164E00"/>
    <w:rsid w:val="00183E43"/>
    <w:rsid w:val="00190457"/>
    <w:rsid w:val="001A6118"/>
    <w:rsid w:val="001D7FFB"/>
    <w:rsid w:val="001E1767"/>
    <w:rsid w:val="002069AE"/>
    <w:rsid w:val="0020709D"/>
    <w:rsid w:val="00215729"/>
    <w:rsid w:val="00232926"/>
    <w:rsid w:val="002457D0"/>
    <w:rsid w:val="00266C12"/>
    <w:rsid w:val="002750E1"/>
    <w:rsid w:val="002B2E44"/>
    <w:rsid w:val="002E0ACE"/>
    <w:rsid w:val="002E1A64"/>
    <w:rsid w:val="003025D9"/>
    <w:rsid w:val="0036769E"/>
    <w:rsid w:val="00383212"/>
    <w:rsid w:val="003A3373"/>
    <w:rsid w:val="003B4F0F"/>
    <w:rsid w:val="003C307B"/>
    <w:rsid w:val="003C79C6"/>
    <w:rsid w:val="003D29AA"/>
    <w:rsid w:val="00436774"/>
    <w:rsid w:val="00437414"/>
    <w:rsid w:val="00472737"/>
    <w:rsid w:val="00475523"/>
    <w:rsid w:val="004B1F37"/>
    <w:rsid w:val="004B4CE0"/>
    <w:rsid w:val="004C633A"/>
    <w:rsid w:val="004D5C60"/>
    <w:rsid w:val="0053579B"/>
    <w:rsid w:val="00557C14"/>
    <w:rsid w:val="00590DB4"/>
    <w:rsid w:val="005B4399"/>
    <w:rsid w:val="005C5D39"/>
    <w:rsid w:val="005F3177"/>
    <w:rsid w:val="00625163"/>
    <w:rsid w:val="006264DE"/>
    <w:rsid w:val="00631E2C"/>
    <w:rsid w:val="00647EA4"/>
    <w:rsid w:val="00691C83"/>
    <w:rsid w:val="006C4C23"/>
    <w:rsid w:val="006E294C"/>
    <w:rsid w:val="006E2E12"/>
    <w:rsid w:val="006E37DA"/>
    <w:rsid w:val="006F4E24"/>
    <w:rsid w:val="00710D95"/>
    <w:rsid w:val="007945E0"/>
    <w:rsid w:val="007A55DC"/>
    <w:rsid w:val="007B12F9"/>
    <w:rsid w:val="007D3635"/>
    <w:rsid w:val="007E00FA"/>
    <w:rsid w:val="008112C3"/>
    <w:rsid w:val="00882E42"/>
    <w:rsid w:val="0088409C"/>
    <w:rsid w:val="00892786"/>
    <w:rsid w:val="00894B52"/>
    <w:rsid w:val="008A7822"/>
    <w:rsid w:val="008D1248"/>
    <w:rsid w:val="008E1A94"/>
    <w:rsid w:val="0090026B"/>
    <w:rsid w:val="00900D99"/>
    <w:rsid w:val="009130F9"/>
    <w:rsid w:val="00920427"/>
    <w:rsid w:val="0092098B"/>
    <w:rsid w:val="00930FDA"/>
    <w:rsid w:val="00967A56"/>
    <w:rsid w:val="009850D0"/>
    <w:rsid w:val="00996A1E"/>
    <w:rsid w:val="009B4A65"/>
    <w:rsid w:val="009B69E3"/>
    <w:rsid w:val="00A340FA"/>
    <w:rsid w:val="00A65BB8"/>
    <w:rsid w:val="00A73A3C"/>
    <w:rsid w:val="00A7496B"/>
    <w:rsid w:val="00A96A6D"/>
    <w:rsid w:val="00B0209D"/>
    <w:rsid w:val="00B344B9"/>
    <w:rsid w:val="00B5616E"/>
    <w:rsid w:val="00BE078E"/>
    <w:rsid w:val="00C30CAA"/>
    <w:rsid w:val="00C327A1"/>
    <w:rsid w:val="00C817D7"/>
    <w:rsid w:val="00CE74DD"/>
    <w:rsid w:val="00CF35B7"/>
    <w:rsid w:val="00D108AA"/>
    <w:rsid w:val="00D14767"/>
    <w:rsid w:val="00D3561A"/>
    <w:rsid w:val="00D45C1B"/>
    <w:rsid w:val="00D46120"/>
    <w:rsid w:val="00D53E27"/>
    <w:rsid w:val="00D95CE9"/>
    <w:rsid w:val="00DA62A8"/>
    <w:rsid w:val="00DC7F68"/>
    <w:rsid w:val="00E23F5E"/>
    <w:rsid w:val="00E259D0"/>
    <w:rsid w:val="00E457FD"/>
    <w:rsid w:val="00E47A3F"/>
    <w:rsid w:val="00E65082"/>
    <w:rsid w:val="00E71059"/>
    <w:rsid w:val="00E9043A"/>
    <w:rsid w:val="00EC260E"/>
    <w:rsid w:val="00EF3C80"/>
    <w:rsid w:val="00F139B4"/>
    <w:rsid w:val="00F26F2C"/>
    <w:rsid w:val="00F77766"/>
    <w:rsid w:val="00F85935"/>
    <w:rsid w:val="00F923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8D028"/>
  <w15:docId w15:val="{8262BDED-7A06-4060-9423-4282FDE8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0709D"/>
    <w:rPr>
      <w:sz w:val="16"/>
      <w:szCs w:val="16"/>
    </w:rPr>
  </w:style>
  <w:style w:type="paragraph" w:styleId="Textocomentario">
    <w:name w:val="annotation text"/>
    <w:basedOn w:val="Normal"/>
    <w:link w:val="TextocomentarioCar"/>
    <w:uiPriority w:val="99"/>
    <w:semiHidden/>
    <w:unhideWhenUsed/>
    <w:rsid w:val="002070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09D"/>
    <w:rPr>
      <w:sz w:val="20"/>
      <w:szCs w:val="20"/>
    </w:rPr>
  </w:style>
  <w:style w:type="paragraph" w:styleId="Asuntodelcomentario">
    <w:name w:val="annotation subject"/>
    <w:basedOn w:val="Textocomentario"/>
    <w:next w:val="Textocomentario"/>
    <w:link w:val="AsuntodelcomentarioCar"/>
    <w:uiPriority w:val="99"/>
    <w:semiHidden/>
    <w:unhideWhenUsed/>
    <w:rsid w:val="0020709D"/>
    <w:rPr>
      <w:b/>
      <w:bCs/>
    </w:rPr>
  </w:style>
  <w:style w:type="character" w:customStyle="1" w:styleId="AsuntodelcomentarioCar">
    <w:name w:val="Asunto del comentario Car"/>
    <w:basedOn w:val="TextocomentarioCar"/>
    <w:link w:val="Asuntodelcomentario"/>
    <w:uiPriority w:val="99"/>
    <w:semiHidden/>
    <w:rsid w:val="0020709D"/>
    <w:rPr>
      <w:b/>
      <w:bCs/>
      <w:sz w:val="20"/>
      <w:szCs w:val="20"/>
    </w:rPr>
  </w:style>
  <w:style w:type="paragraph" w:styleId="Textodeglobo">
    <w:name w:val="Balloon Text"/>
    <w:basedOn w:val="Normal"/>
    <w:link w:val="TextodegloboCar"/>
    <w:uiPriority w:val="99"/>
    <w:semiHidden/>
    <w:unhideWhenUsed/>
    <w:rsid w:val="002070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709D"/>
    <w:rPr>
      <w:rFonts w:ascii="Segoe UI" w:hAnsi="Segoe UI" w:cs="Segoe UI"/>
      <w:sz w:val="18"/>
      <w:szCs w:val="18"/>
    </w:rPr>
  </w:style>
  <w:style w:type="paragraph" w:styleId="Encabezado">
    <w:name w:val="header"/>
    <w:basedOn w:val="Normal"/>
    <w:link w:val="EncabezadoCar"/>
    <w:uiPriority w:val="99"/>
    <w:unhideWhenUsed/>
    <w:rsid w:val="00E47A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A3F"/>
  </w:style>
  <w:style w:type="paragraph" w:styleId="Piedepgina">
    <w:name w:val="footer"/>
    <w:basedOn w:val="Normal"/>
    <w:link w:val="PiedepginaCar"/>
    <w:uiPriority w:val="99"/>
    <w:unhideWhenUsed/>
    <w:rsid w:val="00E47A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11575">
      <w:bodyDiv w:val="1"/>
      <w:marLeft w:val="0"/>
      <w:marRight w:val="0"/>
      <w:marTop w:val="0"/>
      <w:marBottom w:val="0"/>
      <w:divBdr>
        <w:top w:val="none" w:sz="0" w:space="0" w:color="auto"/>
        <w:left w:val="none" w:sz="0" w:space="0" w:color="auto"/>
        <w:bottom w:val="none" w:sz="0" w:space="0" w:color="auto"/>
        <w:right w:val="none" w:sz="0" w:space="0" w:color="auto"/>
      </w:divBdr>
    </w:div>
    <w:div w:id="201526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8E1F-DB70-486A-B833-5F99988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2513</Words>
  <Characters>13824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 paredes</dc:creator>
  <cp:lastModifiedBy>Erica Lobos</cp:lastModifiedBy>
  <cp:revision>20</cp:revision>
  <cp:lastPrinted>2019-12-28T15:29:00Z</cp:lastPrinted>
  <dcterms:created xsi:type="dcterms:W3CDTF">2019-12-27T19:01:00Z</dcterms:created>
  <dcterms:modified xsi:type="dcterms:W3CDTF">2019-12-30T20:02:00Z</dcterms:modified>
</cp:coreProperties>
</file>